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39" w:rsidRDefault="00A56339" w:rsidP="00A56339">
      <w:pPr>
        <w:jc w:val="center"/>
        <w:rPr>
          <w:rFonts w:cs="Arial"/>
          <w:b/>
          <w:sz w:val="28"/>
          <w:szCs w:val="22"/>
        </w:rPr>
      </w:pPr>
    </w:p>
    <w:p w:rsidR="00A56339" w:rsidRDefault="00A56339" w:rsidP="00A56339">
      <w:pPr>
        <w:jc w:val="center"/>
        <w:rPr>
          <w:rFonts w:cs="Arial"/>
          <w:b/>
          <w:sz w:val="28"/>
          <w:szCs w:val="22"/>
        </w:rPr>
      </w:pPr>
    </w:p>
    <w:p w:rsidR="00A56339" w:rsidRDefault="00A56339" w:rsidP="00A56339">
      <w:pPr>
        <w:jc w:val="center"/>
        <w:rPr>
          <w:rFonts w:cs="Arial"/>
          <w:b/>
          <w:sz w:val="28"/>
          <w:szCs w:val="22"/>
        </w:rPr>
      </w:pPr>
    </w:p>
    <w:p w:rsidR="00A56339" w:rsidRDefault="00A56339" w:rsidP="00A56339">
      <w:pPr>
        <w:jc w:val="center"/>
        <w:rPr>
          <w:rFonts w:cs="Arial"/>
          <w:b/>
          <w:sz w:val="28"/>
          <w:szCs w:val="22"/>
        </w:rPr>
      </w:pPr>
    </w:p>
    <w:p w:rsidR="00A56339" w:rsidRDefault="00A56339" w:rsidP="00A56339">
      <w:pPr>
        <w:jc w:val="center"/>
        <w:rPr>
          <w:rFonts w:cs="Arial"/>
          <w:b/>
          <w:sz w:val="28"/>
          <w:szCs w:val="22"/>
        </w:rPr>
      </w:pPr>
    </w:p>
    <w:tbl>
      <w:tblPr>
        <w:tblStyle w:val="Sombreadomedio2-nfasis11"/>
        <w:tblW w:w="0" w:type="auto"/>
        <w:tblBorders>
          <w:top w:val="none" w:sz="0" w:space="0" w:color="auto"/>
          <w:bottom w:val="none" w:sz="0" w:space="0" w:color="auto"/>
        </w:tblBorders>
        <w:tblLook w:val="04A0"/>
      </w:tblPr>
      <w:tblGrid>
        <w:gridCol w:w="4486"/>
        <w:gridCol w:w="4235"/>
      </w:tblGrid>
      <w:tr w:rsidR="00A56339" w:rsidTr="001E2B7A">
        <w:trPr>
          <w:cnfStyle w:val="100000000000"/>
        </w:trPr>
        <w:tc>
          <w:tcPr>
            <w:cnfStyle w:val="001000000100"/>
            <w:tcW w:w="4489" w:type="dxa"/>
            <w:tcBorders>
              <w:top w:val="none" w:sz="0" w:space="0" w:color="auto"/>
              <w:left w:val="none" w:sz="0" w:space="0" w:color="auto"/>
              <w:bottom w:val="none" w:sz="0" w:space="0" w:color="auto"/>
              <w:right w:val="none" w:sz="0" w:space="0" w:color="auto"/>
            </w:tcBorders>
          </w:tcPr>
          <w:p w:rsidR="00A56339" w:rsidRDefault="00A56339" w:rsidP="001E2B7A">
            <w:pPr>
              <w:jc w:val="center"/>
              <w:rPr>
                <w:rFonts w:cs="Arial"/>
                <w:b w:val="0"/>
                <w:sz w:val="28"/>
                <w:szCs w:val="22"/>
              </w:rPr>
            </w:pPr>
          </w:p>
          <w:p w:rsidR="00A56339" w:rsidRDefault="00A56339" w:rsidP="001E2B7A">
            <w:pPr>
              <w:jc w:val="center"/>
              <w:rPr>
                <w:rFonts w:cs="Arial"/>
                <w:b w:val="0"/>
                <w:sz w:val="28"/>
                <w:szCs w:val="22"/>
              </w:rPr>
            </w:pPr>
          </w:p>
          <w:p w:rsidR="00A56339" w:rsidRDefault="00A56339" w:rsidP="001E2B7A">
            <w:pPr>
              <w:jc w:val="center"/>
              <w:rPr>
                <w:rFonts w:cs="Arial"/>
                <w:b w:val="0"/>
                <w:sz w:val="28"/>
                <w:szCs w:val="22"/>
              </w:rPr>
            </w:pPr>
            <w:r>
              <w:rPr>
                <w:rFonts w:ascii="Arial" w:hAnsi="Arial" w:cs="Arial"/>
                <w:noProof/>
                <w:color w:val="264974"/>
                <w:sz w:val="17"/>
                <w:szCs w:val="17"/>
                <w:bdr w:val="none" w:sz="0" w:space="0" w:color="auto" w:frame="1"/>
                <w:lang w:val="es-PE" w:eastAsia="es-PE"/>
              </w:rPr>
              <w:drawing>
                <wp:inline distT="0" distB="0" distL="0" distR="0">
                  <wp:extent cx="2679700" cy="1010285"/>
                  <wp:effectExtent l="19050" t="0" r="6350" b="0"/>
                  <wp:docPr id="3" name="Imagen 1" descr="Logo SMV">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V">
                            <a:hlinkClick r:id="rId8" tgtFrame="_self"/>
                          </pic:cNvPr>
                          <pic:cNvPicPr>
                            <a:picLocks noChangeAspect="1" noChangeArrowheads="1"/>
                          </pic:cNvPicPr>
                        </pic:nvPicPr>
                        <pic:blipFill>
                          <a:blip r:embed="rId9" cstate="print"/>
                          <a:srcRect/>
                          <a:stretch>
                            <a:fillRect/>
                          </a:stretch>
                        </pic:blipFill>
                        <pic:spPr bwMode="auto">
                          <a:xfrm>
                            <a:off x="0" y="0"/>
                            <a:ext cx="2679700" cy="1010285"/>
                          </a:xfrm>
                          <a:prstGeom prst="rect">
                            <a:avLst/>
                          </a:prstGeom>
                          <a:noFill/>
                          <a:ln w="9525">
                            <a:noFill/>
                            <a:miter lim="800000"/>
                            <a:headEnd/>
                            <a:tailEnd/>
                          </a:ln>
                        </pic:spPr>
                      </pic:pic>
                    </a:graphicData>
                  </a:graphic>
                </wp:inline>
              </w:drawing>
            </w:r>
          </w:p>
        </w:tc>
        <w:tc>
          <w:tcPr>
            <w:tcW w:w="4489" w:type="dxa"/>
            <w:tcBorders>
              <w:top w:val="none" w:sz="0" w:space="0" w:color="auto"/>
              <w:left w:val="none" w:sz="0" w:space="0" w:color="auto"/>
              <w:bottom w:val="none" w:sz="0" w:space="0" w:color="auto"/>
              <w:right w:val="none" w:sz="0" w:space="0" w:color="auto"/>
            </w:tcBorders>
          </w:tcPr>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p w:rsidR="00A56339" w:rsidRDefault="00A56339" w:rsidP="001E2B7A">
            <w:pPr>
              <w:jc w:val="center"/>
              <w:cnfStyle w:val="100000000000"/>
              <w:rPr>
                <w:rFonts w:cs="Arial"/>
                <w:b w:val="0"/>
                <w:sz w:val="28"/>
                <w:szCs w:val="22"/>
              </w:rPr>
            </w:pPr>
          </w:p>
        </w:tc>
      </w:tr>
      <w:tr w:rsidR="00A56339" w:rsidTr="001E2B7A">
        <w:trPr>
          <w:cnfStyle w:val="000000100000"/>
        </w:trPr>
        <w:tc>
          <w:tcPr>
            <w:cnfStyle w:val="001000000000"/>
            <w:tcW w:w="4489" w:type="dxa"/>
            <w:tcBorders>
              <w:left w:val="none" w:sz="0" w:space="0" w:color="auto"/>
              <w:bottom w:val="none" w:sz="0" w:space="0" w:color="auto"/>
              <w:right w:val="none" w:sz="0" w:space="0" w:color="auto"/>
            </w:tcBorders>
          </w:tcPr>
          <w:p w:rsidR="00A56339" w:rsidRDefault="00A56339" w:rsidP="001E2B7A">
            <w:pPr>
              <w:jc w:val="center"/>
              <w:rPr>
                <w:rFonts w:cs="Arial"/>
                <w:b w:val="0"/>
                <w:sz w:val="28"/>
                <w:szCs w:val="22"/>
              </w:rPr>
            </w:pPr>
          </w:p>
        </w:tc>
        <w:tc>
          <w:tcPr>
            <w:tcW w:w="4489" w:type="dxa"/>
          </w:tcPr>
          <w:p w:rsidR="00A56339" w:rsidRDefault="00A56339" w:rsidP="001E2B7A">
            <w:pPr>
              <w:jc w:val="center"/>
              <w:cnfStyle w:val="000000100000"/>
              <w:rPr>
                <w:rFonts w:cs="Arial"/>
                <w:b/>
                <w:sz w:val="28"/>
                <w:szCs w:val="22"/>
              </w:rPr>
            </w:pPr>
          </w:p>
          <w:p w:rsidR="00A56339" w:rsidRDefault="00A56339" w:rsidP="001E2B7A">
            <w:pPr>
              <w:jc w:val="center"/>
              <w:cnfStyle w:val="000000100000"/>
              <w:rPr>
                <w:rFonts w:cs="Arial"/>
                <w:b/>
                <w:sz w:val="28"/>
                <w:szCs w:val="22"/>
              </w:rPr>
            </w:pPr>
          </w:p>
          <w:p w:rsidR="00A56339" w:rsidRDefault="00A56339" w:rsidP="001E2B7A">
            <w:pPr>
              <w:jc w:val="center"/>
              <w:cnfStyle w:val="000000100000"/>
              <w:rPr>
                <w:rFonts w:cs="Arial"/>
                <w:b/>
                <w:sz w:val="96"/>
                <w:szCs w:val="22"/>
              </w:rPr>
            </w:pPr>
            <w:proofErr w:type="spellStart"/>
            <w:r w:rsidRPr="00417B5F">
              <w:rPr>
                <w:rFonts w:cs="Arial"/>
                <w:b/>
                <w:sz w:val="96"/>
                <w:szCs w:val="22"/>
              </w:rPr>
              <w:t>Org</w:t>
            </w:r>
            <w:r>
              <w:rPr>
                <w:rFonts w:cs="Arial"/>
                <w:b/>
                <w:sz w:val="96"/>
                <w:szCs w:val="22"/>
              </w:rPr>
              <w:t>anic</w:t>
            </w:r>
            <w:proofErr w:type="spellEnd"/>
          </w:p>
          <w:p w:rsidR="00A56339" w:rsidRPr="00417B5F" w:rsidRDefault="00A56339" w:rsidP="001E2B7A">
            <w:pPr>
              <w:jc w:val="center"/>
              <w:cnfStyle w:val="000000100000"/>
              <w:rPr>
                <w:b/>
                <w:sz w:val="56"/>
              </w:rPr>
            </w:pPr>
            <w:proofErr w:type="spellStart"/>
            <w:r>
              <w:rPr>
                <w:rFonts w:cs="Arial"/>
                <w:b/>
                <w:sz w:val="96"/>
                <w:szCs w:val="22"/>
              </w:rPr>
              <w:t>Law</w:t>
            </w:r>
            <w:proofErr w:type="spellEnd"/>
          </w:p>
          <w:p w:rsidR="00A56339" w:rsidRDefault="00A56339" w:rsidP="001E2B7A">
            <w:pPr>
              <w:jc w:val="center"/>
              <w:cnfStyle w:val="000000100000"/>
              <w:rPr>
                <w:rFonts w:cs="Arial"/>
                <w:b/>
                <w:sz w:val="28"/>
                <w:szCs w:val="22"/>
              </w:rPr>
            </w:pPr>
          </w:p>
        </w:tc>
      </w:tr>
      <w:tr w:rsidR="00A56339" w:rsidTr="001E2B7A">
        <w:tc>
          <w:tcPr>
            <w:cnfStyle w:val="001000000000"/>
            <w:tcW w:w="4489" w:type="dxa"/>
            <w:tcBorders>
              <w:left w:val="none" w:sz="0" w:space="0" w:color="auto"/>
              <w:bottom w:val="none" w:sz="0" w:space="0" w:color="auto"/>
              <w:right w:val="none" w:sz="0" w:space="0" w:color="auto"/>
            </w:tcBorders>
          </w:tcPr>
          <w:p w:rsidR="00A56339" w:rsidRDefault="00A56339" w:rsidP="001E2B7A">
            <w:pPr>
              <w:jc w:val="center"/>
              <w:rPr>
                <w:rFonts w:cs="Arial"/>
                <w:b w:val="0"/>
                <w:sz w:val="28"/>
                <w:szCs w:val="22"/>
              </w:rPr>
            </w:pPr>
          </w:p>
        </w:tc>
        <w:tc>
          <w:tcPr>
            <w:tcW w:w="4489" w:type="dxa"/>
          </w:tcPr>
          <w:p w:rsidR="00A56339" w:rsidRDefault="00A56339" w:rsidP="001E2B7A">
            <w:pPr>
              <w:jc w:val="center"/>
              <w:cnfStyle w:val="000000000000"/>
              <w:rPr>
                <w:rFonts w:cs="Arial"/>
                <w:b/>
                <w:sz w:val="28"/>
                <w:szCs w:val="22"/>
              </w:rPr>
            </w:pPr>
          </w:p>
        </w:tc>
      </w:tr>
    </w:tbl>
    <w:p w:rsidR="00A56339" w:rsidRDefault="00A56339" w:rsidP="00A56339">
      <w:pPr>
        <w:jc w:val="center"/>
        <w:rPr>
          <w:rFonts w:cs="Arial"/>
          <w:b/>
          <w:sz w:val="28"/>
          <w:szCs w:val="22"/>
        </w:rPr>
      </w:pPr>
    </w:p>
    <w:p w:rsidR="00A56339" w:rsidRDefault="00A56339" w:rsidP="00A56339">
      <w:pPr>
        <w:jc w:val="center"/>
        <w:rPr>
          <w:rFonts w:cs="Arial"/>
          <w:b/>
          <w:sz w:val="28"/>
          <w:szCs w:val="22"/>
        </w:rPr>
      </w:pPr>
    </w:p>
    <w:p w:rsidR="00A56339" w:rsidRDefault="00A56339" w:rsidP="00A56339"/>
    <w:p w:rsidR="00A56339" w:rsidRDefault="00A56339" w:rsidP="00A56339">
      <w:pPr>
        <w:tabs>
          <w:tab w:val="clear" w:pos="1531"/>
        </w:tabs>
        <w:spacing w:after="200" w:line="276" w:lineRule="auto"/>
        <w:jc w:val="left"/>
        <w:rPr>
          <w:rFonts w:ascii="Arial" w:hAnsi="Arial" w:cs="Arial"/>
          <w:b/>
          <w:bCs/>
          <w:kern w:val="36"/>
          <w:lang w:val="en-US"/>
        </w:rPr>
      </w:pPr>
      <w:r>
        <w:rPr>
          <w:rFonts w:ascii="Arial" w:hAnsi="Arial" w:cs="Arial"/>
          <w:b/>
          <w:bCs/>
          <w:kern w:val="36"/>
          <w:lang w:val="en-US"/>
        </w:rPr>
        <w:br w:type="page"/>
      </w:r>
    </w:p>
    <w:p w:rsidR="00E24C00" w:rsidRDefault="00E24C00" w:rsidP="00AA6C9D">
      <w:pPr>
        <w:spacing w:before="100" w:beforeAutospacing="1" w:afterAutospacing="1"/>
        <w:ind w:left="708" w:hanging="708"/>
        <w:jc w:val="center"/>
        <w:outlineLvl w:val="0"/>
        <w:rPr>
          <w:rFonts w:ascii="Arial" w:hAnsi="Arial" w:cs="Arial"/>
          <w:b/>
          <w:bCs/>
          <w:kern w:val="36"/>
          <w:lang w:val="en-US"/>
        </w:rPr>
      </w:pPr>
    </w:p>
    <w:p w:rsidR="00E24C00" w:rsidRDefault="00E24C00" w:rsidP="00AA6C9D">
      <w:pPr>
        <w:spacing w:before="100" w:beforeAutospacing="1" w:afterAutospacing="1"/>
        <w:ind w:left="708" w:hanging="708"/>
        <w:jc w:val="center"/>
        <w:outlineLvl w:val="0"/>
        <w:rPr>
          <w:rFonts w:ascii="Arial" w:hAnsi="Arial" w:cs="Arial"/>
          <w:b/>
          <w:bCs/>
          <w:kern w:val="36"/>
          <w:lang w:val="en-US"/>
        </w:rPr>
      </w:pPr>
    </w:p>
    <w:p w:rsidR="00E24C00" w:rsidRDefault="00E24C00" w:rsidP="00AA6C9D">
      <w:pPr>
        <w:spacing w:before="100" w:beforeAutospacing="1" w:afterAutospacing="1"/>
        <w:ind w:left="708" w:hanging="708"/>
        <w:jc w:val="center"/>
        <w:outlineLvl w:val="0"/>
        <w:rPr>
          <w:rFonts w:ascii="Arial" w:hAnsi="Arial" w:cs="Arial"/>
          <w:b/>
          <w:bCs/>
          <w:kern w:val="36"/>
          <w:lang w:val="en-US"/>
        </w:rPr>
      </w:pPr>
    </w:p>
    <w:p w:rsidR="00E24C00" w:rsidRDefault="00E24C00" w:rsidP="00AA6C9D">
      <w:pPr>
        <w:spacing w:before="100" w:beforeAutospacing="1" w:afterAutospacing="1"/>
        <w:ind w:left="708" w:hanging="708"/>
        <w:jc w:val="center"/>
        <w:outlineLvl w:val="0"/>
        <w:rPr>
          <w:rFonts w:ascii="Arial" w:hAnsi="Arial" w:cs="Arial"/>
          <w:b/>
          <w:bCs/>
          <w:kern w:val="36"/>
          <w:lang w:val="en-US"/>
        </w:rPr>
      </w:pPr>
    </w:p>
    <w:p w:rsidR="003E799C" w:rsidRDefault="003E799C" w:rsidP="00AA6C9D">
      <w:pPr>
        <w:spacing w:before="100" w:beforeAutospacing="1" w:afterAutospacing="1"/>
        <w:ind w:left="708" w:hanging="708"/>
        <w:jc w:val="center"/>
        <w:outlineLvl w:val="0"/>
        <w:rPr>
          <w:rFonts w:ascii="Arial" w:hAnsi="Arial" w:cs="Arial"/>
          <w:b/>
          <w:bCs/>
          <w:kern w:val="36"/>
          <w:lang w:val="en-US"/>
        </w:rPr>
      </w:pPr>
    </w:p>
    <w:p w:rsidR="00A81D0E" w:rsidRPr="002C21A1" w:rsidRDefault="00B24B0B" w:rsidP="00950A44">
      <w:pPr>
        <w:pStyle w:val="Subttulo1"/>
        <w:spacing w:before="240" w:line="360" w:lineRule="auto"/>
        <w:ind w:left="567" w:right="567"/>
        <w:rPr>
          <w:rFonts w:ascii="Arial Narrow" w:hAnsi="Arial Narrow" w:cs="Arial"/>
          <w:color w:val="auto"/>
          <w:sz w:val="28"/>
          <w:szCs w:val="28"/>
          <w:lang w:val="en-US"/>
        </w:rPr>
      </w:pPr>
      <w:r>
        <w:rPr>
          <w:rFonts w:ascii="Arial Narrow" w:hAnsi="Arial Narrow" w:cs="Arial"/>
          <w:color w:val="auto"/>
          <w:sz w:val="28"/>
          <w:szCs w:val="28"/>
          <w:lang w:val="en-US"/>
        </w:rPr>
        <w:t>UPDATED</w:t>
      </w:r>
      <w:r w:rsidR="00950A44">
        <w:rPr>
          <w:rFonts w:ascii="Arial Narrow" w:hAnsi="Arial Narrow" w:cs="Arial"/>
          <w:color w:val="auto"/>
          <w:sz w:val="28"/>
          <w:szCs w:val="28"/>
          <w:lang w:val="en-US"/>
        </w:rPr>
        <w:t xml:space="preserve"> </w:t>
      </w:r>
      <w:r w:rsidR="000E33A7" w:rsidRPr="002C21A1">
        <w:rPr>
          <w:rFonts w:ascii="Arial Narrow" w:hAnsi="Arial Narrow" w:cs="Arial"/>
          <w:color w:val="auto"/>
          <w:sz w:val="28"/>
          <w:szCs w:val="28"/>
          <w:lang w:val="en-US"/>
        </w:rPr>
        <w:t xml:space="preserve">TEXT OF </w:t>
      </w:r>
      <w:r w:rsidR="00950A44">
        <w:rPr>
          <w:rFonts w:ascii="Arial Narrow" w:hAnsi="Arial Narrow" w:cs="Arial"/>
          <w:color w:val="auto"/>
          <w:sz w:val="28"/>
          <w:szCs w:val="28"/>
          <w:lang w:val="en-US"/>
        </w:rPr>
        <w:t>CONASEV’S</w:t>
      </w:r>
      <w:r w:rsidR="00D63F90">
        <w:rPr>
          <w:rStyle w:val="Refdenotaalpie"/>
          <w:rFonts w:ascii="Arial Narrow" w:hAnsi="Arial Narrow" w:cs="Arial"/>
          <w:color w:val="auto"/>
          <w:sz w:val="28"/>
          <w:szCs w:val="28"/>
          <w:lang w:val="en-US"/>
        </w:rPr>
        <w:footnoteReference w:id="1"/>
      </w:r>
      <w:r w:rsidR="00AA24FB" w:rsidRPr="002C21A1">
        <w:rPr>
          <w:rFonts w:ascii="Arial Narrow" w:hAnsi="Arial Narrow" w:cs="Arial"/>
          <w:color w:val="auto"/>
          <w:sz w:val="28"/>
          <w:szCs w:val="28"/>
          <w:lang w:val="en-US"/>
        </w:rPr>
        <w:t xml:space="preserve"> </w:t>
      </w:r>
      <w:r w:rsidR="009A732C">
        <w:rPr>
          <w:rFonts w:ascii="Arial Narrow" w:hAnsi="Arial Narrow" w:cs="Arial"/>
          <w:color w:val="auto"/>
          <w:sz w:val="28"/>
          <w:szCs w:val="28"/>
          <w:lang w:val="en-US"/>
        </w:rPr>
        <w:t xml:space="preserve"> </w:t>
      </w:r>
      <w:r w:rsidR="00AA24FB" w:rsidRPr="002C21A1">
        <w:rPr>
          <w:rFonts w:ascii="Arial Narrow" w:hAnsi="Arial Narrow" w:cs="Arial"/>
          <w:color w:val="auto"/>
          <w:sz w:val="28"/>
          <w:szCs w:val="28"/>
          <w:lang w:val="en-US"/>
        </w:rPr>
        <w:t>ORGANIC LAW</w:t>
      </w:r>
    </w:p>
    <w:p w:rsidR="00A81D0E" w:rsidRPr="002C21A1" w:rsidRDefault="00A81D0E" w:rsidP="00A81D0E">
      <w:pPr>
        <w:pStyle w:val="Subttulo1"/>
        <w:spacing w:line="360" w:lineRule="auto"/>
        <w:rPr>
          <w:rFonts w:ascii="Arial Narrow" w:hAnsi="Arial Narrow" w:cs="Arial"/>
          <w:color w:val="auto"/>
          <w:sz w:val="22"/>
          <w:szCs w:val="22"/>
          <w:lang w:val="en-US"/>
        </w:rPr>
      </w:pPr>
    </w:p>
    <w:p w:rsidR="00A81D0E" w:rsidRPr="002C21A1" w:rsidRDefault="00A81D0E" w:rsidP="00A81D0E">
      <w:pPr>
        <w:pStyle w:val="Subttulo1"/>
        <w:spacing w:line="360" w:lineRule="auto"/>
        <w:rPr>
          <w:rFonts w:ascii="Arial Narrow" w:hAnsi="Arial Narrow" w:cs="Arial"/>
          <w:color w:val="auto"/>
          <w:sz w:val="22"/>
          <w:szCs w:val="22"/>
          <w:lang w:val="en-US"/>
        </w:rPr>
      </w:pPr>
    </w:p>
    <w:p w:rsidR="00A81D0E" w:rsidRPr="002C21A1" w:rsidRDefault="00AA24FB" w:rsidP="00A81D0E">
      <w:pPr>
        <w:pStyle w:val="Subttulo1"/>
        <w:spacing w:line="360" w:lineRule="auto"/>
        <w:rPr>
          <w:rFonts w:ascii="Arial Narrow" w:hAnsi="Arial Narrow" w:cs="Arial"/>
          <w:color w:val="auto"/>
          <w:sz w:val="22"/>
          <w:szCs w:val="22"/>
          <w:lang w:val="en-US"/>
        </w:rPr>
      </w:pPr>
      <w:r w:rsidRPr="002C21A1">
        <w:rPr>
          <w:rFonts w:ascii="Arial Narrow" w:hAnsi="Arial Narrow" w:cs="Arial"/>
          <w:color w:val="auto"/>
          <w:sz w:val="22"/>
          <w:szCs w:val="22"/>
          <w:lang w:val="en-US"/>
        </w:rPr>
        <w:t>Law</w:t>
      </w:r>
      <w:r w:rsidR="00126C5C" w:rsidRPr="002C21A1">
        <w:rPr>
          <w:rFonts w:ascii="Arial Narrow" w:hAnsi="Arial Narrow" w:cs="Arial"/>
          <w:color w:val="auto"/>
          <w:sz w:val="22"/>
          <w:szCs w:val="22"/>
          <w:lang w:val="en-US"/>
        </w:rPr>
        <w:t xml:space="preserve"> </w:t>
      </w:r>
      <w:r w:rsidR="00950A44">
        <w:rPr>
          <w:rFonts w:ascii="Arial Narrow" w:hAnsi="Arial Narrow" w:cs="Arial"/>
          <w:color w:val="auto"/>
          <w:sz w:val="22"/>
          <w:szCs w:val="22"/>
          <w:lang w:val="en-US"/>
        </w:rPr>
        <w:t xml:space="preserve">Decree </w:t>
      </w:r>
      <w:r w:rsidR="00126C5C" w:rsidRPr="002C21A1">
        <w:rPr>
          <w:rFonts w:ascii="Arial Narrow" w:hAnsi="Arial Narrow" w:cs="Arial"/>
          <w:color w:val="auto"/>
          <w:sz w:val="22"/>
          <w:szCs w:val="22"/>
          <w:lang w:val="en-US"/>
        </w:rPr>
        <w:t>N° 26126</w:t>
      </w:r>
    </w:p>
    <w:p w:rsidR="00A81D0E" w:rsidRPr="002C21A1" w:rsidRDefault="00A81D0E" w:rsidP="00A81D0E">
      <w:pPr>
        <w:pStyle w:val="Subttulo1"/>
        <w:spacing w:line="360" w:lineRule="auto"/>
        <w:rPr>
          <w:rFonts w:ascii="Arial Narrow" w:hAnsi="Arial Narrow" w:cs="Arial"/>
          <w:color w:val="auto"/>
          <w:sz w:val="22"/>
          <w:szCs w:val="22"/>
          <w:lang w:val="en-US"/>
        </w:rPr>
      </w:pPr>
    </w:p>
    <w:p w:rsidR="00A81D0E" w:rsidRPr="002C21A1" w:rsidRDefault="00A81D0E" w:rsidP="00A81D0E">
      <w:pPr>
        <w:pStyle w:val="Subttulo1"/>
        <w:spacing w:line="360" w:lineRule="auto"/>
        <w:rPr>
          <w:rFonts w:ascii="Arial Narrow" w:hAnsi="Arial Narrow" w:cs="Arial"/>
          <w:color w:val="auto"/>
          <w:sz w:val="22"/>
          <w:szCs w:val="22"/>
          <w:lang w:val="en-US"/>
        </w:rPr>
      </w:pPr>
    </w:p>
    <w:p w:rsidR="00A81D0E" w:rsidRPr="002C21A1" w:rsidRDefault="00AA24FB" w:rsidP="00A81D0E">
      <w:pPr>
        <w:pStyle w:val="Subttulo1"/>
        <w:spacing w:line="360" w:lineRule="auto"/>
        <w:rPr>
          <w:rFonts w:ascii="Arial Narrow" w:hAnsi="Arial Narrow" w:cs="Arial"/>
          <w:color w:val="auto"/>
          <w:sz w:val="22"/>
          <w:szCs w:val="22"/>
          <w:lang w:val="en-US"/>
        </w:rPr>
      </w:pPr>
      <w:r w:rsidRPr="002C21A1">
        <w:rPr>
          <w:rFonts w:ascii="Arial Narrow" w:hAnsi="Arial Narrow" w:cs="Arial"/>
          <w:color w:val="auto"/>
          <w:sz w:val="22"/>
          <w:szCs w:val="22"/>
          <w:lang w:val="en-US"/>
        </w:rPr>
        <w:t xml:space="preserve">Including </w:t>
      </w:r>
      <w:r w:rsidR="00950A44">
        <w:rPr>
          <w:rFonts w:ascii="Arial Narrow" w:hAnsi="Arial Narrow" w:cs="Arial"/>
          <w:color w:val="auto"/>
          <w:sz w:val="22"/>
          <w:szCs w:val="22"/>
          <w:lang w:val="en-US"/>
        </w:rPr>
        <w:t>amendments by</w:t>
      </w:r>
    </w:p>
    <w:p w:rsidR="00A81D0E" w:rsidRPr="002C21A1" w:rsidRDefault="00A81D0E" w:rsidP="00A81D0E">
      <w:pPr>
        <w:pStyle w:val="Subttulo1"/>
        <w:spacing w:line="360" w:lineRule="auto"/>
        <w:rPr>
          <w:rFonts w:ascii="Arial Narrow" w:hAnsi="Arial Narrow" w:cs="Arial"/>
          <w:color w:val="auto"/>
          <w:sz w:val="22"/>
          <w:szCs w:val="22"/>
          <w:lang w:val="en-US"/>
        </w:rPr>
      </w:pPr>
    </w:p>
    <w:p w:rsidR="00A81D0E" w:rsidRPr="002C21A1" w:rsidRDefault="00F9018C" w:rsidP="00A81D0E">
      <w:pPr>
        <w:pStyle w:val="Subttulo1"/>
        <w:spacing w:line="360" w:lineRule="auto"/>
        <w:rPr>
          <w:rFonts w:ascii="Arial Narrow" w:hAnsi="Arial Narrow" w:cs="Arial"/>
          <w:color w:val="auto"/>
          <w:sz w:val="22"/>
          <w:szCs w:val="22"/>
          <w:lang w:val="en-US"/>
        </w:rPr>
      </w:pPr>
      <w:r w:rsidRPr="002C21A1">
        <w:rPr>
          <w:rFonts w:ascii="Arial Narrow" w:hAnsi="Arial Narrow" w:cs="Arial"/>
          <w:color w:val="auto"/>
          <w:sz w:val="22"/>
          <w:szCs w:val="22"/>
          <w:lang w:val="en-US"/>
        </w:rPr>
        <w:t>-</w:t>
      </w:r>
      <w:r w:rsidR="00AA24FB" w:rsidRPr="002C21A1">
        <w:rPr>
          <w:rFonts w:ascii="Arial Narrow" w:hAnsi="Arial Narrow" w:cs="Arial"/>
          <w:color w:val="auto"/>
          <w:sz w:val="22"/>
          <w:szCs w:val="22"/>
          <w:lang w:val="en-US"/>
        </w:rPr>
        <w:t>Law</w:t>
      </w:r>
      <w:r w:rsidR="00A81D0E" w:rsidRPr="002C21A1">
        <w:rPr>
          <w:rFonts w:ascii="Arial Narrow" w:hAnsi="Arial Narrow" w:cs="Arial"/>
          <w:color w:val="auto"/>
          <w:sz w:val="22"/>
          <w:szCs w:val="22"/>
          <w:lang w:val="en-US"/>
        </w:rPr>
        <w:t xml:space="preserve"> Nº 27323</w:t>
      </w:r>
      <w:r w:rsidR="00531150" w:rsidRPr="002C21A1">
        <w:rPr>
          <w:rFonts w:ascii="Arial Narrow" w:hAnsi="Arial Narrow" w:cs="Arial"/>
          <w:color w:val="auto"/>
          <w:sz w:val="22"/>
          <w:szCs w:val="22"/>
          <w:lang w:val="en-US"/>
        </w:rPr>
        <w:t>, published</w:t>
      </w:r>
      <w:r w:rsidR="004E5950">
        <w:rPr>
          <w:rFonts w:ascii="Arial Narrow" w:hAnsi="Arial Narrow" w:cs="Arial"/>
          <w:color w:val="auto"/>
          <w:sz w:val="22"/>
          <w:szCs w:val="22"/>
          <w:lang w:val="en-US"/>
        </w:rPr>
        <w:t xml:space="preserve"> </w:t>
      </w:r>
      <w:r w:rsidR="00A81D0E" w:rsidRPr="002C21A1">
        <w:rPr>
          <w:rFonts w:ascii="Arial Narrow" w:hAnsi="Arial Narrow" w:cs="Arial"/>
          <w:color w:val="auto"/>
          <w:sz w:val="22"/>
          <w:szCs w:val="22"/>
          <w:lang w:val="en-US"/>
        </w:rPr>
        <w:t>07.</w:t>
      </w:r>
      <w:r w:rsidR="004E5950">
        <w:rPr>
          <w:rFonts w:ascii="Arial Narrow" w:hAnsi="Arial Narrow" w:cs="Arial"/>
          <w:color w:val="auto"/>
          <w:sz w:val="22"/>
          <w:szCs w:val="22"/>
          <w:lang w:val="en-US"/>
        </w:rPr>
        <w:t>23.</w:t>
      </w:r>
      <w:r w:rsidR="00A81D0E" w:rsidRPr="002C21A1">
        <w:rPr>
          <w:rFonts w:ascii="Arial Narrow" w:hAnsi="Arial Narrow" w:cs="Arial"/>
          <w:color w:val="auto"/>
          <w:sz w:val="22"/>
          <w:szCs w:val="22"/>
          <w:lang w:val="en-US"/>
        </w:rPr>
        <w:t>2000</w:t>
      </w:r>
    </w:p>
    <w:p w:rsidR="00A81D0E" w:rsidRPr="002C21A1" w:rsidRDefault="00F9018C" w:rsidP="00A81D0E">
      <w:pPr>
        <w:pStyle w:val="Subttulo1"/>
        <w:spacing w:line="360" w:lineRule="auto"/>
        <w:rPr>
          <w:rFonts w:ascii="Arial Narrow" w:hAnsi="Arial Narrow" w:cs="Arial"/>
          <w:color w:val="auto"/>
          <w:sz w:val="22"/>
          <w:szCs w:val="22"/>
          <w:lang w:val="en-US"/>
        </w:rPr>
      </w:pPr>
      <w:r w:rsidRPr="002C21A1">
        <w:rPr>
          <w:rFonts w:ascii="Arial Narrow" w:hAnsi="Arial Narrow" w:cs="Arial"/>
          <w:color w:val="auto"/>
          <w:sz w:val="22"/>
          <w:szCs w:val="22"/>
          <w:lang w:val="en-US"/>
        </w:rPr>
        <w:t>-</w:t>
      </w:r>
      <w:r w:rsidR="00A81D0E" w:rsidRPr="002C21A1">
        <w:rPr>
          <w:rFonts w:ascii="Arial Narrow" w:hAnsi="Arial Narrow" w:cs="Arial"/>
          <w:color w:val="auto"/>
          <w:sz w:val="22"/>
          <w:szCs w:val="22"/>
          <w:lang w:val="en-US"/>
        </w:rPr>
        <w:t>L</w:t>
      </w:r>
      <w:r w:rsidR="00AA24FB" w:rsidRPr="002C21A1">
        <w:rPr>
          <w:rFonts w:ascii="Arial Narrow" w:hAnsi="Arial Narrow" w:cs="Arial"/>
          <w:color w:val="auto"/>
          <w:sz w:val="22"/>
          <w:szCs w:val="22"/>
          <w:lang w:val="en-US"/>
        </w:rPr>
        <w:t>aw</w:t>
      </w:r>
      <w:r w:rsidR="00A81D0E" w:rsidRPr="002C21A1">
        <w:rPr>
          <w:rFonts w:ascii="Arial Narrow" w:hAnsi="Arial Narrow" w:cs="Arial"/>
          <w:color w:val="auto"/>
          <w:sz w:val="22"/>
          <w:szCs w:val="22"/>
          <w:lang w:val="en-US"/>
        </w:rPr>
        <w:t xml:space="preserve"> N</w:t>
      </w:r>
      <w:r w:rsidR="00AA24FB" w:rsidRPr="002C21A1">
        <w:rPr>
          <w:rFonts w:ascii="Arial Narrow" w:hAnsi="Arial Narrow" w:cs="Arial"/>
          <w:color w:val="auto"/>
          <w:sz w:val="22"/>
          <w:szCs w:val="22"/>
          <w:lang w:val="en-US"/>
        </w:rPr>
        <w:t>°</w:t>
      </w:r>
      <w:r w:rsidR="00A81D0E" w:rsidRPr="002C21A1">
        <w:rPr>
          <w:rFonts w:ascii="Arial Narrow" w:hAnsi="Arial Narrow" w:cs="Arial"/>
          <w:color w:val="auto"/>
          <w:sz w:val="22"/>
          <w:szCs w:val="22"/>
          <w:lang w:val="en-US"/>
        </w:rPr>
        <w:t xml:space="preserve"> 29782</w:t>
      </w:r>
      <w:r w:rsidR="00531150" w:rsidRPr="002C21A1">
        <w:rPr>
          <w:rFonts w:ascii="Arial Narrow" w:hAnsi="Arial Narrow" w:cs="Arial"/>
          <w:color w:val="auto"/>
          <w:sz w:val="22"/>
          <w:szCs w:val="22"/>
          <w:lang w:val="en-US"/>
        </w:rPr>
        <w:t>, published</w:t>
      </w:r>
      <w:r w:rsidR="004E5950">
        <w:rPr>
          <w:rFonts w:ascii="Arial Narrow" w:hAnsi="Arial Narrow" w:cs="Arial"/>
          <w:color w:val="auto"/>
          <w:sz w:val="22"/>
          <w:szCs w:val="22"/>
          <w:lang w:val="en-US"/>
        </w:rPr>
        <w:t xml:space="preserve"> </w:t>
      </w:r>
      <w:r w:rsidR="00A81D0E" w:rsidRPr="002C21A1">
        <w:rPr>
          <w:rFonts w:ascii="Arial Narrow" w:hAnsi="Arial Narrow" w:cs="Arial"/>
          <w:color w:val="auto"/>
          <w:sz w:val="22"/>
          <w:szCs w:val="22"/>
          <w:lang w:val="en-US"/>
        </w:rPr>
        <w:t>07.</w:t>
      </w:r>
      <w:r w:rsidR="004E5950">
        <w:rPr>
          <w:rFonts w:ascii="Arial Narrow" w:hAnsi="Arial Narrow" w:cs="Arial"/>
          <w:color w:val="auto"/>
          <w:sz w:val="22"/>
          <w:szCs w:val="22"/>
          <w:lang w:val="en-US"/>
        </w:rPr>
        <w:t>28.</w:t>
      </w:r>
      <w:r w:rsidR="00A81D0E" w:rsidRPr="002C21A1">
        <w:rPr>
          <w:rFonts w:ascii="Arial Narrow" w:hAnsi="Arial Narrow" w:cs="Arial"/>
          <w:color w:val="auto"/>
          <w:sz w:val="22"/>
          <w:szCs w:val="22"/>
          <w:lang w:val="en-US"/>
        </w:rPr>
        <w:t>2011</w:t>
      </w:r>
    </w:p>
    <w:p w:rsidR="00A81D0E" w:rsidRPr="000A58B2" w:rsidRDefault="00A81D0E" w:rsidP="00A81D0E">
      <w:pPr>
        <w:pStyle w:val="Subttulo1"/>
        <w:spacing w:line="360" w:lineRule="auto"/>
        <w:rPr>
          <w:rFonts w:ascii="Arial Narrow" w:hAnsi="Arial Narrow" w:cs="Arial"/>
          <w:color w:val="auto"/>
          <w:sz w:val="22"/>
          <w:szCs w:val="22"/>
          <w:lang w:val="en-US"/>
        </w:rPr>
      </w:pPr>
      <w:r w:rsidRPr="002C21A1">
        <w:rPr>
          <w:rFonts w:ascii="Arial Narrow" w:hAnsi="Arial Narrow" w:cs="Arial"/>
          <w:color w:val="auto"/>
          <w:sz w:val="22"/>
          <w:szCs w:val="22"/>
          <w:lang w:val="en-US"/>
        </w:rPr>
        <w:t xml:space="preserve">- </w:t>
      </w:r>
      <w:r w:rsidR="00AA24FB" w:rsidRPr="002C21A1">
        <w:rPr>
          <w:rFonts w:ascii="Arial Narrow" w:hAnsi="Arial Narrow" w:cs="Arial"/>
          <w:color w:val="auto"/>
          <w:sz w:val="22"/>
          <w:szCs w:val="22"/>
          <w:lang w:val="en-US"/>
        </w:rPr>
        <w:t>Law</w:t>
      </w:r>
      <w:r w:rsidRPr="002C21A1">
        <w:rPr>
          <w:rFonts w:ascii="Arial Narrow" w:hAnsi="Arial Narrow" w:cs="Arial"/>
          <w:color w:val="auto"/>
          <w:sz w:val="22"/>
          <w:szCs w:val="22"/>
          <w:lang w:val="en-US"/>
        </w:rPr>
        <w:t xml:space="preserve"> N</w:t>
      </w:r>
      <w:r w:rsidR="00AA24FB" w:rsidRPr="002C21A1">
        <w:rPr>
          <w:rFonts w:ascii="Arial Narrow" w:hAnsi="Arial Narrow" w:cs="Arial"/>
          <w:color w:val="auto"/>
          <w:sz w:val="22"/>
          <w:szCs w:val="22"/>
          <w:lang w:val="en-US"/>
        </w:rPr>
        <w:t>°</w:t>
      </w:r>
      <w:r w:rsidRPr="002C21A1">
        <w:rPr>
          <w:rFonts w:ascii="Arial Narrow" w:hAnsi="Arial Narrow" w:cs="Arial"/>
          <w:color w:val="auto"/>
          <w:sz w:val="22"/>
          <w:szCs w:val="22"/>
          <w:lang w:val="en-US"/>
        </w:rPr>
        <w:t xml:space="preserve"> 30050</w:t>
      </w:r>
      <w:r w:rsidR="00531150" w:rsidRPr="002C21A1">
        <w:rPr>
          <w:rFonts w:ascii="Arial Narrow" w:hAnsi="Arial Narrow" w:cs="Arial"/>
          <w:color w:val="auto"/>
          <w:sz w:val="22"/>
          <w:szCs w:val="22"/>
          <w:lang w:val="en-US"/>
        </w:rPr>
        <w:t>, published</w:t>
      </w:r>
      <w:r w:rsidR="004E5950">
        <w:rPr>
          <w:rFonts w:ascii="Arial Narrow" w:hAnsi="Arial Narrow" w:cs="Arial"/>
          <w:color w:val="auto"/>
          <w:sz w:val="22"/>
          <w:szCs w:val="22"/>
          <w:lang w:val="en-US"/>
        </w:rPr>
        <w:t xml:space="preserve"> </w:t>
      </w:r>
      <w:r w:rsidRPr="002C21A1">
        <w:rPr>
          <w:rFonts w:ascii="Arial Narrow" w:hAnsi="Arial Narrow" w:cs="Arial"/>
          <w:color w:val="auto"/>
          <w:sz w:val="22"/>
          <w:szCs w:val="22"/>
          <w:lang w:val="en-US"/>
        </w:rPr>
        <w:t>06.</w:t>
      </w:r>
      <w:r w:rsidR="004E5950">
        <w:rPr>
          <w:rFonts w:ascii="Arial Narrow" w:hAnsi="Arial Narrow" w:cs="Arial"/>
          <w:color w:val="auto"/>
          <w:sz w:val="22"/>
          <w:szCs w:val="22"/>
          <w:lang w:val="en-US"/>
        </w:rPr>
        <w:t>26.</w:t>
      </w:r>
      <w:r w:rsidRPr="002C21A1">
        <w:rPr>
          <w:rFonts w:ascii="Arial Narrow" w:hAnsi="Arial Narrow" w:cs="Arial"/>
          <w:color w:val="auto"/>
          <w:sz w:val="22"/>
          <w:szCs w:val="22"/>
          <w:lang w:val="en-US"/>
        </w:rPr>
        <w:t>2013</w:t>
      </w:r>
    </w:p>
    <w:p w:rsidR="00A81D0E" w:rsidRPr="000A58B2" w:rsidRDefault="00A81D0E" w:rsidP="00A81D0E">
      <w:pPr>
        <w:spacing w:before="100" w:beforeAutospacing="1" w:afterAutospacing="1"/>
        <w:jc w:val="center"/>
        <w:outlineLvl w:val="0"/>
        <w:rPr>
          <w:b/>
          <w:bCs/>
          <w:kern w:val="36"/>
          <w:lang w:val="en-US"/>
        </w:rPr>
      </w:pPr>
      <w:r w:rsidRPr="000A58B2">
        <w:rPr>
          <w:rFonts w:cs="Arial"/>
          <w:lang w:val="en-US"/>
        </w:rPr>
        <w:br w:type="page"/>
      </w:r>
    </w:p>
    <w:p w:rsidR="00950A44" w:rsidRDefault="00950A44" w:rsidP="00950A44">
      <w:pPr>
        <w:spacing w:before="100" w:beforeAutospacing="1" w:afterAutospacing="1"/>
        <w:ind w:left="708" w:hanging="708"/>
        <w:jc w:val="center"/>
        <w:outlineLvl w:val="0"/>
        <w:rPr>
          <w:rFonts w:ascii="Arial" w:hAnsi="Arial" w:cs="Arial"/>
          <w:b/>
          <w:bCs/>
          <w:kern w:val="36"/>
          <w:lang w:val="en-US"/>
        </w:rPr>
      </w:pPr>
      <w:bookmarkStart w:id="0" w:name="LPTOC1"/>
      <w:bookmarkEnd w:id="0"/>
    </w:p>
    <w:p w:rsidR="00950A44" w:rsidRPr="000A58B2" w:rsidRDefault="00950A44" w:rsidP="00950A44">
      <w:pPr>
        <w:pStyle w:val="Subttulo1"/>
        <w:rPr>
          <w:rFonts w:ascii="Arial Narrow" w:hAnsi="Arial Narrow" w:cs="Arial Narrow"/>
          <w:color w:val="auto"/>
          <w:sz w:val="22"/>
          <w:szCs w:val="22"/>
          <w:lang w:val="en-US"/>
        </w:rPr>
      </w:pPr>
      <w:r w:rsidRPr="000A58B2">
        <w:rPr>
          <w:rFonts w:ascii="Arial Narrow" w:hAnsi="Arial Narrow" w:cs="Arial Narrow"/>
          <w:color w:val="auto"/>
          <w:sz w:val="22"/>
          <w:szCs w:val="22"/>
          <w:lang w:val="en-US"/>
        </w:rPr>
        <w:t>Contents</w:t>
      </w:r>
    </w:p>
    <w:p w:rsidR="00950A44" w:rsidRPr="000A58B2" w:rsidRDefault="00950A44" w:rsidP="00950A44">
      <w:pPr>
        <w:pStyle w:val="Piedepgina"/>
        <w:tabs>
          <w:tab w:val="clear" w:pos="4252"/>
          <w:tab w:val="clear" w:pos="8504"/>
          <w:tab w:val="left" w:pos="1531"/>
        </w:tabs>
        <w:rPr>
          <w:rFonts w:cs="Arial"/>
          <w:lang w:val="en-US"/>
        </w:rPr>
      </w:pPr>
    </w:p>
    <w:p w:rsidR="00950A44" w:rsidRPr="000A58B2" w:rsidRDefault="00950A44" w:rsidP="00950A44">
      <w:pPr>
        <w:pStyle w:val="Piedepgina"/>
        <w:tabs>
          <w:tab w:val="clear" w:pos="4252"/>
          <w:tab w:val="clear" w:pos="8504"/>
          <w:tab w:val="left" w:pos="1531"/>
        </w:tabs>
        <w:rPr>
          <w:rFonts w:cs="Arial"/>
          <w:b/>
          <w:lang w:val="en-US"/>
        </w:rPr>
      </w:pPr>
    </w:p>
    <w:p w:rsidR="00950A44" w:rsidRPr="000A58B2" w:rsidRDefault="00B24B0B" w:rsidP="00950A44">
      <w:pPr>
        <w:pStyle w:val="Piedepgina"/>
        <w:tabs>
          <w:tab w:val="clear" w:pos="4252"/>
          <w:tab w:val="clear" w:pos="8504"/>
          <w:tab w:val="left" w:pos="1531"/>
        </w:tabs>
        <w:jc w:val="center"/>
        <w:rPr>
          <w:rFonts w:cs="Arial"/>
          <w:b/>
          <w:lang w:val="en-US"/>
        </w:rPr>
      </w:pPr>
      <w:r>
        <w:rPr>
          <w:rFonts w:cs="Arial"/>
          <w:b/>
          <w:lang w:val="en-US"/>
        </w:rPr>
        <w:t>UPDATED</w:t>
      </w:r>
      <w:r w:rsidR="00950A44" w:rsidRPr="000A58B2">
        <w:rPr>
          <w:rFonts w:cs="Arial"/>
          <w:b/>
          <w:lang w:val="en-US"/>
        </w:rPr>
        <w:t xml:space="preserve"> TEXT OF </w:t>
      </w:r>
      <w:r w:rsidR="00D63F90">
        <w:rPr>
          <w:rFonts w:cs="Arial"/>
          <w:b/>
          <w:lang w:val="en-US"/>
        </w:rPr>
        <w:t>CONASEV</w:t>
      </w:r>
      <w:r w:rsidR="00950A44" w:rsidRPr="000A58B2">
        <w:rPr>
          <w:rFonts w:cs="Arial"/>
          <w:b/>
          <w:lang w:val="en-US"/>
        </w:rPr>
        <w:t>’S ORGANIC LAW</w:t>
      </w:r>
    </w:p>
    <w:p w:rsidR="00950A44" w:rsidRPr="000A58B2" w:rsidRDefault="00950A44" w:rsidP="00950A44">
      <w:pPr>
        <w:pStyle w:val="Piedepgina"/>
        <w:tabs>
          <w:tab w:val="clear" w:pos="4252"/>
          <w:tab w:val="clear" w:pos="8504"/>
          <w:tab w:val="left" w:pos="1531"/>
        </w:tabs>
        <w:spacing w:after="0"/>
        <w:rPr>
          <w:rFonts w:cs="Arial"/>
          <w:b/>
          <w:lang w:val="en-US"/>
        </w:rPr>
      </w:pPr>
    </w:p>
    <w:p w:rsidR="00950A44" w:rsidRPr="000A319A" w:rsidRDefault="00FA094A" w:rsidP="00950A44">
      <w:pPr>
        <w:pStyle w:val="TDC1"/>
        <w:tabs>
          <w:tab w:val="right" w:leader="dot" w:pos="8495"/>
        </w:tabs>
        <w:spacing w:after="0"/>
        <w:rPr>
          <w:rFonts w:asciiTheme="minorHAnsi" w:eastAsiaTheme="minorEastAsia" w:hAnsiTheme="minorHAnsi" w:cstheme="minorBidi"/>
          <w:noProof/>
          <w:szCs w:val="22"/>
          <w:lang w:val="es-PE" w:eastAsia="es-PE"/>
        </w:rPr>
      </w:pPr>
      <w:r w:rsidRPr="000A319A">
        <w:rPr>
          <w:rFonts w:cs="Arial"/>
          <w:bCs/>
          <w:szCs w:val="22"/>
          <w:lang w:val="en-US"/>
        </w:rPr>
        <w:fldChar w:fldCharType="begin"/>
      </w:r>
      <w:r w:rsidR="00950A44" w:rsidRPr="000A319A">
        <w:rPr>
          <w:rFonts w:cs="Arial"/>
          <w:bCs/>
          <w:szCs w:val="22"/>
          <w:lang w:val="en-US"/>
        </w:rPr>
        <w:instrText xml:space="preserve"> TOC \o "1-3" \h \z \u </w:instrText>
      </w:r>
      <w:r w:rsidRPr="000A319A">
        <w:rPr>
          <w:rFonts w:cs="Arial"/>
          <w:bCs/>
          <w:szCs w:val="22"/>
          <w:lang w:val="en-US"/>
        </w:rPr>
        <w:fldChar w:fldCharType="separate"/>
      </w:r>
      <w:hyperlink w:anchor="_Toc440386580" w:history="1">
        <w:r w:rsidR="00950A44" w:rsidRPr="000A319A">
          <w:rPr>
            <w:rStyle w:val="Hipervnculo"/>
            <w:b/>
            <w:noProof/>
            <w:lang w:val="en-US"/>
          </w:rPr>
          <w:t>TITLE I</w:t>
        </w:r>
        <w:r w:rsidR="00950A44" w:rsidRPr="000A319A">
          <w:rPr>
            <w:noProof/>
            <w:webHidden/>
          </w:rPr>
          <w:tab/>
        </w:r>
        <w:r w:rsidRPr="000A319A">
          <w:rPr>
            <w:noProof/>
            <w:webHidden/>
          </w:rPr>
          <w:fldChar w:fldCharType="begin"/>
        </w:r>
        <w:r w:rsidR="00950A44" w:rsidRPr="000A319A">
          <w:rPr>
            <w:noProof/>
            <w:webHidden/>
          </w:rPr>
          <w:instrText xml:space="preserve"> PAGEREF _Toc440386580 \h </w:instrText>
        </w:r>
        <w:r w:rsidRPr="000A319A">
          <w:rPr>
            <w:noProof/>
            <w:webHidden/>
          </w:rPr>
        </w:r>
        <w:r w:rsidRPr="000A319A">
          <w:rPr>
            <w:noProof/>
            <w:webHidden/>
          </w:rPr>
          <w:fldChar w:fldCharType="separate"/>
        </w:r>
        <w:r w:rsidR="009F13CD">
          <w:rPr>
            <w:noProof/>
            <w:webHidden/>
          </w:rPr>
          <w:t>4</w:t>
        </w:r>
        <w:r w:rsidRPr="000A319A">
          <w:rPr>
            <w:noProof/>
            <w:webHidden/>
          </w:rPr>
          <w:fldChar w:fldCharType="end"/>
        </w:r>
      </w:hyperlink>
    </w:p>
    <w:p w:rsidR="00950A44" w:rsidRDefault="00950A44" w:rsidP="00950A44">
      <w:pPr>
        <w:pStyle w:val="TDC1"/>
        <w:tabs>
          <w:tab w:val="right" w:leader="dot" w:pos="8495"/>
        </w:tabs>
        <w:spacing w:after="0"/>
        <w:rPr>
          <w:rStyle w:val="Hipervnculo"/>
          <w:noProof/>
        </w:rPr>
      </w:pPr>
    </w:p>
    <w:p w:rsidR="00950A44" w:rsidRDefault="00FA094A" w:rsidP="00950A44">
      <w:pPr>
        <w:pStyle w:val="TDC1"/>
        <w:tabs>
          <w:tab w:val="right" w:leader="dot" w:pos="8495"/>
        </w:tabs>
        <w:spacing w:after="0"/>
        <w:rPr>
          <w:rStyle w:val="Hipervnculo"/>
          <w:noProof/>
        </w:rPr>
      </w:pPr>
      <w:hyperlink w:anchor="_Toc440386581" w:history="1">
        <w:r w:rsidR="00950A44" w:rsidRPr="000A319A">
          <w:rPr>
            <w:rStyle w:val="Hipervnculo"/>
            <w:noProof/>
            <w:lang w:val="en-US"/>
          </w:rPr>
          <w:t>NAME, PURPOSE, DOMICILE AND FUNCTIONS</w:t>
        </w:r>
        <w:r w:rsidR="00950A44" w:rsidRPr="000A319A">
          <w:rPr>
            <w:noProof/>
            <w:webHidden/>
          </w:rPr>
          <w:tab/>
        </w:r>
        <w:r w:rsidRPr="000A319A">
          <w:rPr>
            <w:noProof/>
            <w:webHidden/>
          </w:rPr>
          <w:fldChar w:fldCharType="begin"/>
        </w:r>
        <w:r w:rsidR="00950A44" w:rsidRPr="000A319A">
          <w:rPr>
            <w:noProof/>
            <w:webHidden/>
          </w:rPr>
          <w:instrText xml:space="preserve"> PAGEREF _Toc440386581 \h </w:instrText>
        </w:r>
        <w:r w:rsidRPr="000A319A">
          <w:rPr>
            <w:noProof/>
            <w:webHidden/>
          </w:rPr>
        </w:r>
        <w:r w:rsidRPr="000A319A">
          <w:rPr>
            <w:noProof/>
            <w:webHidden/>
          </w:rPr>
          <w:fldChar w:fldCharType="separate"/>
        </w:r>
        <w:r w:rsidR="009F13CD">
          <w:rPr>
            <w:noProof/>
            <w:webHidden/>
          </w:rPr>
          <w:t>4</w:t>
        </w:r>
        <w:r w:rsidRPr="000A319A">
          <w:rPr>
            <w:noProof/>
            <w:webHidden/>
          </w:rPr>
          <w:fldChar w:fldCharType="end"/>
        </w:r>
      </w:hyperlink>
      <w:r w:rsidR="00950A44">
        <w:rPr>
          <w:rStyle w:val="Hipervnculo"/>
          <w:noProof/>
        </w:rPr>
        <w:t xml:space="preserve"> </w:t>
      </w:r>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2" w:history="1">
        <w:r w:rsidR="00950A44" w:rsidRPr="000A319A">
          <w:rPr>
            <w:rStyle w:val="Hipervnculo"/>
            <w:b/>
            <w:noProof/>
            <w:lang w:val="en-US"/>
          </w:rPr>
          <w:t>TITLE II</w:t>
        </w:r>
        <w:r w:rsidR="00950A44" w:rsidRPr="000A319A">
          <w:rPr>
            <w:noProof/>
            <w:webHidden/>
          </w:rPr>
          <w:tab/>
        </w:r>
        <w:r w:rsidRPr="000A319A">
          <w:rPr>
            <w:noProof/>
            <w:webHidden/>
          </w:rPr>
          <w:fldChar w:fldCharType="begin"/>
        </w:r>
        <w:r w:rsidR="00950A44" w:rsidRPr="000A319A">
          <w:rPr>
            <w:noProof/>
            <w:webHidden/>
          </w:rPr>
          <w:instrText xml:space="preserve"> PAGEREF _Toc440386582 \h </w:instrText>
        </w:r>
        <w:r w:rsidRPr="000A319A">
          <w:rPr>
            <w:noProof/>
            <w:webHidden/>
          </w:rPr>
        </w:r>
        <w:r w:rsidRPr="000A319A">
          <w:rPr>
            <w:noProof/>
            <w:webHidden/>
          </w:rPr>
          <w:fldChar w:fldCharType="separate"/>
        </w:r>
        <w:r w:rsidR="009F13CD">
          <w:rPr>
            <w:noProof/>
            <w:webHidden/>
          </w:rPr>
          <w:t>9</w:t>
        </w:r>
        <w:r w:rsidRPr="000A319A">
          <w:rPr>
            <w:noProof/>
            <w:webHidden/>
          </w:rPr>
          <w:fldChar w:fldCharType="end"/>
        </w:r>
      </w:hyperlink>
      <w:r w:rsidR="00950A44">
        <w:rPr>
          <w:rStyle w:val="Hipervnculo"/>
          <w:noProof/>
        </w:rPr>
        <w:t xml:space="preserve"> </w:t>
      </w:r>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3" w:history="1">
        <w:r w:rsidR="00950A44" w:rsidRPr="000A319A">
          <w:rPr>
            <w:rStyle w:val="Hipervnculo"/>
            <w:noProof/>
            <w:lang w:val="en-US"/>
          </w:rPr>
          <w:t>BOARD OF DIRECTORS</w:t>
        </w:r>
        <w:r w:rsidR="00950A44" w:rsidRPr="000A319A">
          <w:rPr>
            <w:noProof/>
            <w:webHidden/>
          </w:rPr>
          <w:tab/>
        </w:r>
        <w:r w:rsidRPr="000A319A">
          <w:rPr>
            <w:noProof/>
            <w:webHidden/>
          </w:rPr>
          <w:fldChar w:fldCharType="begin"/>
        </w:r>
        <w:r w:rsidR="00950A44" w:rsidRPr="000A319A">
          <w:rPr>
            <w:noProof/>
            <w:webHidden/>
          </w:rPr>
          <w:instrText xml:space="preserve"> PAGEREF _Toc440386583 \h </w:instrText>
        </w:r>
        <w:r w:rsidRPr="000A319A">
          <w:rPr>
            <w:noProof/>
            <w:webHidden/>
          </w:rPr>
        </w:r>
        <w:r w:rsidRPr="000A319A">
          <w:rPr>
            <w:noProof/>
            <w:webHidden/>
          </w:rPr>
          <w:fldChar w:fldCharType="separate"/>
        </w:r>
        <w:r w:rsidR="009F13CD">
          <w:rPr>
            <w:noProof/>
            <w:webHidden/>
          </w:rPr>
          <w:t>9</w:t>
        </w:r>
        <w:r w:rsidRPr="000A319A">
          <w:rPr>
            <w:noProof/>
            <w:webHidden/>
          </w:rPr>
          <w:fldChar w:fldCharType="end"/>
        </w:r>
      </w:hyperlink>
      <w:r w:rsidR="00950A44">
        <w:rPr>
          <w:rStyle w:val="Hipervnculo"/>
          <w:noProof/>
        </w:rPr>
        <w:t xml:space="preserve"> </w:t>
      </w:r>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4" w:history="1">
        <w:r w:rsidR="00950A44" w:rsidRPr="000A319A">
          <w:rPr>
            <w:rStyle w:val="Hipervnculo"/>
            <w:b/>
            <w:noProof/>
            <w:lang w:val="en-US"/>
          </w:rPr>
          <w:t>TITLE III</w:t>
        </w:r>
        <w:r w:rsidR="00950A44" w:rsidRPr="000A319A">
          <w:rPr>
            <w:noProof/>
            <w:webHidden/>
          </w:rPr>
          <w:tab/>
        </w:r>
        <w:r w:rsidRPr="000A319A">
          <w:rPr>
            <w:noProof/>
            <w:webHidden/>
          </w:rPr>
          <w:fldChar w:fldCharType="begin"/>
        </w:r>
        <w:r w:rsidR="00950A44" w:rsidRPr="000A319A">
          <w:rPr>
            <w:noProof/>
            <w:webHidden/>
          </w:rPr>
          <w:instrText xml:space="preserve"> PAGEREF _Toc440386584 \h </w:instrText>
        </w:r>
        <w:r w:rsidRPr="000A319A">
          <w:rPr>
            <w:noProof/>
            <w:webHidden/>
          </w:rPr>
        </w:r>
        <w:r w:rsidRPr="000A319A">
          <w:rPr>
            <w:noProof/>
            <w:webHidden/>
          </w:rPr>
          <w:fldChar w:fldCharType="separate"/>
        </w:r>
        <w:r w:rsidR="009F13CD">
          <w:rPr>
            <w:noProof/>
            <w:webHidden/>
          </w:rPr>
          <w:t>12</w:t>
        </w:r>
        <w:r w:rsidRPr="000A319A">
          <w:rPr>
            <w:noProof/>
            <w:webHidden/>
          </w:rPr>
          <w:fldChar w:fldCharType="end"/>
        </w:r>
      </w:hyperlink>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5" w:history="1">
        <w:r w:rsidR="00950A44" w:rsidRPr="000A319A">
          <w:rPr>
            <w:rStyle w:val="Hipervnculo"/>
            <w:noProof/>
            <w:lang w:val="en-US"/>
          </w:rPr>
          <w:t>GENERAL MANAGER</w:t>
        </w:r>
        <w:r w:rsidR="00950A44" w:rsidRPr="000A319A">
          <w:rPr>
            <w:noProof/>
            <w:webHidden/>
          </w:rPr>
          <w:tab/>
        </w:r>
        <w:r w:rsidRPr="000A319A">
          <w:rPr>
            <w:noProof/>
            <w:webHidden/>
          </w:rPr>
          <w:fldChar w:fldCharType="begin"/>
        </w:r>
        <w:r w:rsidR="00950A44" w:rsidRPr="000A319A">
          <w:rPr>
            <w:noProof/>
            <w:webHidden/>
          </w:rPr>
          <w:instrText xml:space="preserve"> PAGEREF _Toc440386585 \h </w:instrText>
        </w:r>
        <w:r w:rsidRPr="000A319A">
          <w:rPr>
            <w:noProof/>
            <w:webHidden/>
          </w:rPr>
        </w:r>
        <w:r w:rsidRPr="000A319A">
          <w:rPr>
            <w:noProof/>
            <w:webHidden/>
          </w:rPr>
          <w:fldChar w:fldCharType="separate"/>
        </w:r>
        <w:r w:rsidR="009F13CD">
          <w:rPr>
            <w:noProof/>
            <w:webHidden/>
          </w:rPr>
          <w:t>12</w:t>
        </w:r>
        <w:r w:rsidRPr="000A319A">
          <w:rPr>
            <w:noProof/>
            <w:webHidden/>
          </w:rPr>
          <w:fldChar w:fldCharType="end"/>
        </w:r>
      </w:hyperlink>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6" w:history="1">
        <w:r w:rsidR="00950A44" w:rsidRPr="000A319A">
          <w:rPr>
            <w:rStyle w:val="Hipervnculo"/>
            <w:b/>
            <w:noProof/>
            <w:lang w:val="en-US"/>
          </w:rPr>
          <w:t>TITLE IV</w:t>
        </w:r>
        <w:r w:rsidR="00950A44" w:rsidRPr="000A319A">
          <w:rPr>
            <w:noProof/>
            <w:webHidden/>
          </w:rPr>
          <w:tab/>
        </w:r>
        <w:r w:rsidRPr="000A319A">
          <w:rPr>
            <w:noProof/>
            <w:webHidden/>
          </w:rPr>
          <w:fldChar w:fldCharType="begin"/>
        </w:r>
        <w:r w:rsidR="00950A44" w:rsidRPr="000A319A">
          <w:rPr>
            <w:noProof/>
            <w:webHidden/>
          </w:rPr>
          <w:instrText xml:space="preserve"> PAGEREF _Toc440386586 \h </w:instrText>
        </w:r>
        <w:r w:rsidRPr="000A319A">
          <w:rPr>
            <w:noProof/>
            <w:webHidden/>
          </w:rPr>
        </w:r>
        <w:r w:rsidRPr="000A319A">
          <w:rPr>
            <w:noProof/>
            <w:webHidden/>
          </w:rPr>
          <w:fldChar w:fldCharType="separate"/>
        </w:r>
        <w:r w:rsidR="009F13CD">
          <w:rPr>
            <w:noProof/>
            <w:webHidden/>
          </w:rPr>
          <w:t>12</w:t>
        </w:r>
        <w:r w:rsidRPr="000A319A">
          <w:rPr>
            <w:noProof/>
            <w:webHidden/>
          </w:rPr>
          <w:fldChar w:fldCharType="end"/>
        </w:r>
      </w:hyperlink>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7" w:history="1">
        <w:r w:rsidR="00950A44" w:rsidRPr="000A319A">
          <w:rPr>
            <w:rStyle w:val="Hipervnculo"/>
            <w:noProof/>
            <w:lang w:val="en-US"/>
          </w:rPr>
          <w:t>ECONOMIC AND FINANCIAL REGIME</w:t>
        </w:r>
        <w:r w:rsidR="00950A44" w:rsidRPr="000A319A">
          <w:rPr>
            <w:noProof/>
            <w:webHidden/>
          </w:rPr>
          <w:tab/>
        </w:r>
        <w:r w:rsidRPr="000A319A">
          <w:rPr>
            <w:noProof/>
            <w:webHidden/>
          </w:rPr>
          <w:fldChar w:fldCharType="begin"/>
        </w:r>
        <w:r w:rsidR="00950A44" w:rsidRPr="000A319A">
          <w:rPr>
            <w:noProof/>
            <w:webHidden/>
          </w:rPr>
          <w:instrText xml:space="preserve"> PAGEREF _Toc440386587 \h </w:instrText>
        </w:r>
        <w:r w:rsidRPr="000A319A">
          <w:rPr>
            <w:noProof/>
            <w:webHidden/>
          </w:rPr>
        </w:r>
        <w:r w:rsidRPr="000A319A">
          <w:rPr>
            <w:noProof/>
            <w:webHidden/>
          </w:rPr>
          <w:fldChar w:fldCharType="separate"/>
        </w:r>
        <w:r w:rsidR="009F13CD">
          <w:rPr>
            <w:noProof/>
            <w:webHidden/>
          </w:rPr>
          <w:t>12</w:t>
        </w:r>
        <w:r w:rsidRPr="000A319A">
          <w:rPr>
            <w:noProof/>
            <w:webHidden/>
          </w:rPr>
          <w:fldChar w:fldCharType="end"/>
        </w:r>
      </w:hyperlink>
    </w:p>
    <w:p w:rsidR="00950A44" w:rsidRPr="000A319A" w:rsidRDefault="00950A44" w:rsidP="00950A44">
      <w:pPr>
        <w:spacing w:after="0"/>
        <w:rPr>
          <w:rFonts w:eastAsiaTheme="minorEastAsia"/>
          <w:noProof/>
        </w:rPr>
      </w:pPr>
    </w:p>
    <w:p w:rsidR="00950A44" w:rsidRDefault="00FA094A" w:rsidP="00950A44">
      <w:pPr>
        <w:pStyle w:val="TDC1"/>
        <w:tabs>
          <w:tab w:val="right" w:leader="dot" w:pos="8495"/>
        </w:tabs>
        <w:spacing w:after="0"/>
        <w:rPr>
          <w:rStyle w:val="Hipervnculo"/>
          <w:noProof/>
        </w:rPr>
      </w:pPr>
      <w:hyperlink w:anchor="_Toc440386588" w:history="1">
        <w:r w:rsidR="00950A44" w:rsidRPr="000A319A">
          <w:rPr>
            <w:rStyle w:val="Hipervnculo"/>
            <w:b/>
            <w:noProof/>
            <w:lang w:val="en-US"/>
          </w:rPr>
          <w:t>TITLE V</w:t>
        </w:r>
        <w:r w:rsidR="00950A44" w:rsidRPr="000A319A">
          <w:rPr>
            <w:noProof/>
            <w:webHidden/>
          </w:rPr>
          <w:tab/>
        </w:r>
        <w:r w:rsidRPr="000A319A">
          <w:rPr>
            <w:noProof/>
            <w:webHidden/>
          </w:rPr>
          <w:fldChar w:fldCharType="begin"/>
        </w:r>
        <w:r w:rsidR="00950A44" w:rsidRPr="000A319A">
          <w:rPr>
            <w:noProof/>
            <w:webHidden/>
          </w:rPr>
          <w:instrText xml:space="preserve"> PAGEREF _Toc440386588 \h </w:instrText>
        </w:r>
        <w:r w:rsidRPr="000A319A">
          <w:rPr>
            <w:noProof/>
            <w:webHidden/>
          </w:rPr>
        </w:r>
        <w:r w:rsidRPr="000A319A">
          <w:rPr>
            <w:noProof/>
            <w:webHidden/>
          </w:rPr>
          <w:fldChar w:fldCharType="separate"/>
        </w:r>
        <w:r w:rsidR="009F13CD">
          <w:rPr>
            <w:noProof/>
            <w:webHidden/>
          </w:rPr>
          <w:t>15</w:t>
        </w:r>
        <w:r w:rsidRPr="000A319A">
          <w:rPr>
            <w:noProof/>
            <w:webHidden/>
          </w:rPr>
          <w:fldChar w:fldCharType="end"/>
        </w:r>
      </w:hyperlink>
    </w:p>
    <w:p w:rsidR="00950A44" w:rsidRPr="000A319A" w:rsidRDefault="00950A44" w:rsidP="00950A44">
      <w:pPr>
        <w:spacing w:after="0"/>
        <w:rPr>
          <w:rFonts w:eastAsiaTheme="minorEastAsia"/>
          <w:noProof/>
        </w:rPr>
      </w:pPr>
    </w:p>
    <w:p w:rsidR="00950A44" w:rsidRPr="000A319A" w:rsidRDefault="00FA094A" w:rsidP="00950A44">
      <w:pPr>
        <w:pStyle w:val="TDC1"/>
        <w:tabs>
          <w:tab w:val="right" w:leader="dot" w:pos="8495"/>
        </w:tabs>
        <w:spacing w:after="0"/>
        <w:rPr>
          <w:rFonts w:asciiTheme="minorHAnsi" w:eastAsiaTheme="minorEastAsia" w:hAnsiTheme="minorHAnsi" w:cstheme="minorBidi"/>
          <w:noProof/>
          <w:szCs w:val="22"/>
          <w:lang w:val="es-PE" w:eastAsia="es-PE"/>
        </w:rPr>
      </w:pPr>
      <w:hyperlink w:anchor="_Toc440386589" w:history="1">
        <w:r w:rsidR="00950A44" w:rsidRPr="000A319A">
          <w:rPr>
            <w:rStyle w:val="Hipervnculo"/>
            <w:noProof/>
            <w:lang w:val="en-US"/>
          </w:rPr>
          <w:t>PERSONNEL</w:t>
        </w:r>
        <w:r w:rsidR="00950A44" w:rsidRPr="000A319A">
          <w:rPr>
            <w:noProof/>
            <w:webHidden/>
          </w:rPr>
          <w:tab/>
        </w:r>
        <w:r w:rsidRPr="000A319A">
          <w:rPr>
            <w:noProof/>
            <w:webHidden/>
          </w:rPr>
          <w:fldChar w:fldCharType="begin"/>
        </w:r>
        <w:r w:rsidR="00950A44" w:rsidRPr="000A319A">
          <w:rPr>
            <w:noProof/>
            <w:webHidden/>
          </w:rPr>
          <w:instrText xml:space="preserve"> PAGEREF _Toc440386589 \h </w:instrText>
        </w:r>
        <w:r w:rsidRPr="000A319A">
          <w:rPr>
            <w:noProof/>
            <w:webHidden/>
          </w:rPr>
        </w:r>
        <w:r w:rsidRPr="000A319A">
          <w:rPr>
            <w:noProof/>
            <w:webHidden/>
          </w:rPr>
          <w:fldChar w:fldCharType="separate"/>
        </w:r>
        <w:r w:rsidR="009F13CD">
          <w:rPr>
            <w:noProof/>
            <w:webHidden/>
          </w:rPr>
          <w:t>15</w:t>
        </w:r>
        <w:r w:rsidRPr="000A319A">
          <w:rPr>
            <w:noProof/>
            <w:webHidden/>
          </w:rPr>
          <w:fldChar w:fldCharType="end"/>
        </w:r>
      </w:hyperlink>
    </w:p>
    <w:p w:rsidR="00950A44" w:rsidRPr="000A58B2" w:rsidRDefault="00FA094A" w:rsidP="00950A44">
      <w:pPr>
        <w:pStyle w:val="INDICTAB1"/>
        <w:spacing w:after="0"/>
        <w:rPr>
          <w:rFonts w:cs="Arial"/>
          <w:bCs/>
          <w:sz w:val="22"/>
          <w:szCs w:val="22"/>
          <w:lang w:val="en-US"/>
        </w:rPr>
      </w:pPr>
      <w:r w:rsidRPr="000A319A">
        <w:rPr>
          <w:rFonts w:cs="Arial"/>
          <w:bCs/>
          <w:snapToGrid/>
          <w:spacing w:val="0"/>
          <w:sz w:val="22"/>
          <w:szCs w:val="22"/>
          <w:lang w:val="en-US"/>
        </w:rPr>
        <w:fldChar w:fldCharType="end"/>
      </w:r>
    </w:p>
    <w:p w:rsidR="00950A44" w:rsidRPr="000A58B2" w:rsidRDefault="00950A44" w:rsidP="00950A44">
      <w:pPr>
        <w:pStyle w:val="INDICTAB1"/>
        <w:rPr>
          <w:rFonts w:cs="Arial"/>
          <w:b/>
          <w:bCs/>
          <w:sz w:val="22"/>
          <w:szCs w:val="22"/>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950A44" w:rsidRDefault="00950A44" w:rsidP="00A81D0E">
      <w:pPr>
        <w:spacing w:before="100" w:beforeAutospacing="1" w:afterAutospacing="1"/>
        <w:jc w:val="center"/>
        <w:outlineLvl w:val="1"/>
        <w:rPr>
          <w:b/>
          <w:bCs/>
          <w:lang w:val="en-US"/>
        </w:rPr>
      </w:pPr>
    </w:p>
    <w:p w:rsidR="00A81D0E" w:rsidRPr="000A58B2" w:rsidRDefault="00A81D0E" w:rsidP="00A81D0E">
      <w:pPr>
        <w:spacing w:before="100" w:beforeAutospacing="1" w:afterAutospacing="1"/>
        <w:jc w:val="center"/>
        <w:outlineLvl w:val="1"/>
        <w:rPr>
          <w:b/>
          <w:bCs/>
          <w:lang w:val="en-US"/>
        </w:rPr>
      </w:pPr>
      <w:r w:rsidRPr="000A58B2">
        <w:rPr>
          <w:b/>
          <w:bCs/>
          <w:lang w:val="en-US"/>
        </w:rPr>
        <w:br/>
      </w:r>
    </w:p>
    <w:p w:rsidR="00100645" w:rsidRPr="000A58B2" w:rsidRDefault="00B24B0B" w:rsidP="00A81D0E">
      <w:pPr>
        <w:spacing w:before="100" w:beforeAutospacing="1" w:afterAutospacing="1"/>
        <w:jc w:val="center"/>
        <w:rPr>
          <w:b/>
          <w:bCs/>
          <w:lang w:val="en-US"/>
        </w:rPr>
      </w:pPr>
      <w:r>
        <w:rPr>
          <w:b/>
          <w:bCs/>
          <w:lang w:val="en-US"/>
        </w:rPr>
        <w:lastRenderedPageBreak/>
        <w:t>UPDATED</w:t>
      </w:r>
      <w:r w:rsidR="00D63F90">
        <w:rPr>
          <w:b/>
          <w:bCs/>
          <w:lang w:val="en-US"/>
        </w:rPr>
        <w:t xml:space="preserve"> </w:t>
      </w:r>
      <w:r w:rsidR="00AA24FB" w:rsidRPr="000A58B2">
        <w:rPr>
          <w:b/>
          <w:bCs/>
          <w:lang w:val="en-US"/>
        </w:rPr>
        <w:t xml:space="preserve">TEXT OF </w:t>
      </w:r>
      <w:r w:rsidR="00100645" w:rsidRPr="000A58B2">
        <w:rPr>
          <w:b/>
          <w:bCs/>
          <w:lang w:val="en-US"/>
        </w:rPr>
        <w:t xml:space="preserve">THE </w:t>
      </w:r>
    </w:p>
    <w:p w:rsidR="00100645" w:rsidRPr="000A58B2" w:rsidRDefault="00396662" w:rsidP="00A81D0E">
      <w:pPr>
        <w:spacing w:before="100" w:beforeAutospacing="1" w:afterAutospacing="1"/>
        <w:jc w:val="center"/>
        <w:rPr>
          <w:b/>
          <w:bCs/>
          <w:lang w:val="en-US"/>
        </w:rPr>
      </w:pPr>
      <w:r>
        <w:rPr>
          <w:b/>
          <w:bCs/>
          <w:lang w:val="en-US"/>
        </w:rPr>
        <w:t xml:space="preserve">PERUVIAN </w:t>
      </w:r>
      <w:r w:rsidR="00AA24FB" w:rsidRPr="000A58B2">
        <w:rPr>
          <w:b/>
          <w:bCs/>
          <w:lang w:val="en-US"/>
        </w:rPr>
        <w:t>SECURITIES</w:t>
      </w:r>
      <w:r>
        <w:rPr>
          <w:b/>
          <w:bCs/>
          <w:lang w:val="en-US"/>
        </w:rPr>
        <w:t xml:space="preserve"> </w:t>
      </w:r>
      <w:r w:rsidR="0065133F">
        <w:rPr>
          <w:b/>
          <w:bCs/>
          <w:lang w:val="en-US"/>
        </w:rPr>
        <w:t xml:space="preserve">AND EXCHANGE </w:t>
      </w:r>
      <w:r>
        <w:rPr>
          <w:b/>
          <w:bCs/>
          <w:lang w:val="en-US"/>
        </w:rPr>
        <w:t>COMMISSION</w:t>
      </w:r>
      <w:r w:rsidRPr="00396662">
        <w:rPr>
          <w:b/>
          <w:bCs/>
          <w:lang w:val="en-US"/>
        </w:rPr>
        <w:t xml:space="preserve"> </w:t>
      </w:r>
      <w:r w:rsidRPr="000A58B2">
        <w:rPr>
          <w:b/>
          <w:bCs/>
          <w:lang w:val="en-US"/>
        </w:rPr>
        <w:t>ORGANIC LAW</w:t>
      </w:r>
    </w:p>
    <w:p w:rsidR="00A81D0E" w:rsidRPr="000A58B2" w:rsidRDefault="00AA24FB" w:rsidP="00A81D0E">
      <w:pPr>
        <w:spacing w:before="100" w:beforeAutospacing="1" w:afterAutospacing="1"/>
        <w:jc w:val="center"/>
        <w:rPr>
          <w:lang w:val="en-US"/>
        </w:rPr>
      </w:pPr>
      <w:r w:rsidRPr="000A58B2">
        <w:rPr>
          <w:b/>
          <w:bCs/>
          <w:lang w:val="en-US"/>
        </w:rPr>
        <w:t>LAW</w:t>
      </w:r>
      <w:r w:rsidR="00A81D0E" w:rsidRPr="000A58B2">
        <w:rPr>
          <w:b/>
          <w:bCs/>
          <w:lang w:val="en-US"/>
        </w:rPr>
        <w:t xml:space="preserve"> </w:t>
      </w:r>
      <w:r w:rsidR="00032E5D" w:rsidRPr="000A58B2">
        <w:rPr>
          <w:b/>
          <w:bCs/>
          <w:lang w:val="en-US"/>
        </w:rPr>
        <w:t xml:space="preserve">DECREE </w:t>
      </w:r>
      <w:r w:rsidR="00A81D0E" w:rsidRPr="000A58B2">
        <w:rPr>
          <w:b/>
          <w:bCs/>
          <w:lang w:val="en-US"/>
        </w:rPr>
        <w:t>Nº</w:t>
      </w:r>
      <w:bookmarkStart w:id="1" w:name="LPHit1"/>
      <w:bookmarkEnd w:id="1"/>
      <w:r w:rsidR="00723426">
        <w:rPr>
          <w:b/>
          <w:bCs/>
          <w:lang w:val="en-US"/>
        </w:rPr>
        <w:t xml:space="preserve"> </w:t>
      </w:r>
      <w:r w:rsidR="00A81D0E" w:rsidRPr="000A58B2">
        <w:rPr>
          <w:b/>
          <w:bCs/>
          <w:lang w:val="en-US"/>
        </w:rPr>
        <w:t>26126</w:t>
      </w:r>
    </w:p>
    <w:p w:rsidR="00A81D0E" w:rsidRPr="002630F7" w:rsidRDefault="00B06D99" w:rsidP="00B605A7">
      <w:pPr>
        <w:pStyle w:val="Ttulo1"/>
        <w:rPr>
          <w:rFonts w:ascii="Arial Narrow" w:hAnsi="Arial Narrow"/>
          <w:sz w:val="22"/>
          <w:szCs w:val="22"/>
          <w:lang w:val="en-US"/>
        </w:rPr>
      </w:pPr>
      <w:bookmarkStart w:id="2" w:name="_Toc376963176"/>
      <w:bookmarkStart w:id="3" w:name="_Toc440386580"/>
      <w:r w:rsidRPr="002630F7">
        <w:rPr>
          <w:rFonts w:ascii="Arial Narrow" w:hAnsi="Arial Narrow"/>
          <w:sz w:val="22"/>
          <w:szCs w:val="22"/>
          <w:lang w:val="en-US"/>
        </w:rPr>
        <w:t>TITLE</w:t>
      </w:r>
      <w:r w:rsidR="00A81D0E" w:rsidRPr="002630F7">
        <w:rPr>
          <w:rFonts w:ascii="Arial Narrow" w:hAnsi="Arial Narrow"/>
          <w:sz w:val="22"/>
          <w:szCs w:val="22"/>
          <w:lang w:val="en-US"/>
        </w:rPr>
        <w:t xml:space="preserve"> I</w:t>
      </w:r>
      <w:bookmarkEnd w:id="2"/>
      <w:bookmarkEnd w:id="3"/>
    </w:p>
    <w:p w:rsidR="00A81D0E" w:rsidRPr="002630F7" w:rsidRDefault="00AA24FB" w:rsidP="00B605A7">
      <w:pPr>
        <w:pStyle w:val="Ttulo1"/>
        <w:rPr>
          <w:rFonts w:ascii="Arial Narrow" w:hAnsi="Arial Narrow"/>
          <w:sz w:val="22"/>
          <w:szCs w:val="22"/>
          <w:lang w:val="en-US"/>
        </w:rPr>
      </w:pPr>
      <w:bookmarkStart w:id="4" w:name="_Toc440386581"/>
      <w:r w:rsidRPr="002630F7">
        <w:rPr>
          <w:rFonts w:ascii="Arial Narrow" w:hAnsi="Arial Narrow"/>
          <w:sz w:val="22"/>
          <w:szCs w:val="22"/>
          <w:lang w:val="en-US"/>
        </w:rPr>
        <w:t>NAME, PURPOSE, DOMICILE AND FUNCTIONS</w:t>
      </w:r>
      <w:bookmarkEnd w:id="4"/>
    </w:p>
    <w:p w:rsidR="00A81D0E" w:rsidRPr="000A58B2" w:rsidRDefault="00A81D0E" w:rsidP="00A81D0E">
      <w:pPr>
        <w:spacing w:before="100" w:beforeAutospacing="1" w:afterAutospacing="1"/>
        <w:rPr>
          <w:lang w:val="en-US"/>
        </w:rPr>
      </w:pPr>
      <w:r w:rsidRPr="000A58B2">
        <w:rPr>
          <w:b/>
          <w:bCs/>
          <w:lang w:val="en-US"/>
        </w:rPr>
        <w:t>Art</w:t>
      </w:r>
      <w:r w:rsidR="00AA24FB" w:rsidRPr="000A58B2">
        <w:rPr>
          <w:b/>
          <w:bCs/>
          <w:lang w:val="en-US"/>
        </w:rPr>
        <w:t>icle</w:t>
      </w:r>
      <w:r w:rsidRPr="000A58B2">
        <w:rPr>
          <w:b/>
          <w:bCs/>
          <w:lang w:val="en-US"/>
        </w:rPr>
        <w:t xml:space="preserve"> 1. </w:t>
      </w:r>
      <w:r w:rsidR="00AA24FB" w:rsidRPr="000A58B2">
        <w:rPr>
          <w:b/>
          <w:bCs/>
          <w:lang w:val="en-US"/>
        </w:rPr>
        <w:t xml:space="preserve">Definition, purpose and function of the </w:t>
      </w:r>
      <w:r w:rsidR="00032E5D">
        <w:rPr>
          <w:b/>
          <w:bCs/>
          <w:lang w:val="en-US"/>
        </w:rPr>
        <w:t xml:space="preserve">Superintendence of Securities Market </w:t>
      </w:r>
      <w:r w:rsidR="009D1E25">
        <w:rPr>
          <w:b/>
          <w:bCs/>
          <w:lang w:val="en-US"/>
        </w:rPr>
        <w:t xml:space="preserve">SMV </w:t>
      </w:r>
      <w:r w:rsidRPr="000A58B2">
        <w:rPr>
          <w:bCs/>
          <w:lang w:val="en-US"/>
        </w:rPr>
        <w:t>(*)</w:t>
      </w:r>
    </w:p>
    <w:p w:rsidR="00A81D0E" w:rsidRPr="000A58B2" w:rsidRDefault="00AA24FB" w:rsidP="00A81D0E">
      <w:pPr>
        <w:spacing w:before="100" w:beforeAutospacing="1" w:afterAutospacing="1"/>
        <w:rPr>
          <w:lang w:val="en-US"/>
        </w:rPr>
      </w:pPr>
      <w:r w:rsidRPr="000A58B2">
        <w:rPr>
          <w:lang w:val="en-US"/>
        </w:rPr>
        <w:t xml:space="preserve">The </w:t>
      </w:r>
      <w:r w:rsidR="00032E5D">
        <w:rPr>
          <w:lang w:val="en-US"/>
        </w:rPr>
        <w:t xml:space="preserve">Superintendence of </w:t>
      </w:r>
      <w:r w:rsidRPr="000A58B2">
        <w:rPr>
          <w:lang w:val="en-US"/>
        </w:rPr>
        <w:t xml:space="preserve">Securities Market </w:t>
      </w:r>
      <w:r w:rsidR="00032E5D">
        <w:rPr>
          <w:lang w:val="en-US"/>
        </w:rPr>
        <w:t xml:space="preserve"> </w:t>
      </w:r>
      <w:r w:rsidRPr="000A58B2">
        <w:rPr>
          <w:lang w:val="en-US"/>
        </w:rPr>
        <w:t>(her</w:t>
      </w:r>
      <w:r w:rsidR="00100645" w:rsidRPr="000A58B2">
        <w:rPr>
          <w:lang w:val="en-US"/>
        </w:rPr>
        <w:t>e</w:t>
      </w:r>
      <w:r w:rsidRPr="000A58B2">
        <w:rPr>
          <w:lang w:val="en-US"/>
        </w:rPr>
        <w:t xml:space="preserve">after </w:t>
      </w:r>
      <w:r w:rsidR="00A81D0E" w:rsidRPr="000A58B2">
        <w:rPr>
          <w:lang w:val="en-US"/>
        </w:rPr>
        <w:t xml:space="preserve">SMV) </w:t>
      </w:r>
      <w:r w:rsidRPr="000A58B2">
        <w:rPr>
          <w:lang w:val="en-US"/>
        </w:rPr>
        <w:t xml:space="preserve">is a specialized technical entity </w:t>
      </w:r>
      <w:r w:rsidR="00ED12F3">
        <w:rPr>
          <w:lang w:val="en-US"/>
        </w:rPr>
        <w:t xml:space="preserve">attached to </w:t>
      </w:r>
      <w:r w:rsidRPr="000A58B2">
        <w:rPr>
          <w:lang w:val="en-US"/>
        </w:rPr>
        <w:t xml:space="preserve">the Ministry of Economy and Finance, </w:t>
      </w:r>
      <w:r w:rsidR="00100645" w:rsidRPr="000A58B2">
        <w:rPr>
          <w:lang w:val="en-US"/>
        </w:rPr>
        <w:t>charged with protecting</w:t>
      </w:r>
      <w:r w:rsidRPr="000A58B2">
        <w:rPr>
          <w:lang w:val="en-US"/>
        </w:rPr>
        <w:t xml:space="preserve"> investors, </w:t>
      </w:r>
      <w:r w:rsidR="00100645" w:rsidRPr="000A58B2">
        <w:rPr>
          <w:lang w:val="en-US"/>
        </w:rPr>
        <w:t>and ensuring the</w:t>
      </w:r>
      <w:r w:rsidRPr="000A58B2">
        <w:rPr>
          <w:lang w:val="en-US"/>
        </w:rPr>
        <w:t xml:space="preserve"> efficiency and transparency of markets under its oversight, appropriate price making and dissemination of information for the above purposes, through its regulatory, oversight and promotion functions. It is a legal person govern</w:t>
      </w:r>
      <w:r w:rsidR="00100645" w:rsidRPr="000A58B2">
        <w:rPr>
          <w:lang w:val="en-US"/>
        </w:rPr>
        <w:t>e</w:t>
      </w:r>
      <w:r w:rsidRPr="000A58B2">
        <w:rPr>
          <w:lang w:val="en-US"/>
        </w:rPr>
        <w:t>d by domestic public law provisions. It enjoys functional, administrative, eco</w:t>
      </w:r>
      <w:r w:rsidR="00100645" w:rsidRPr="000A58B2">
        <w:rPr>
          <w:lang w:val="en-US"/>
        </w:rPr>
        <w:t>nomic, technical and budgetary i</w:t>
      </w:r>
      <w:r w:rsidRPr="000A58B2">
        <w:rPr>
          <w:lang w:val="en-US"/>
        </w:rPr>
        <w:t>ndependence and is separately included in the national budget. Its operations are governed by the provisions of this law and its organization and functions guidelines. SMV’s functions are as follows</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a. </w:t>
      </w:r>
      <w:r w:rsidR="006D1AF4" w:rsidRPr="000A58B2">
        <w:rPr>
          <w:lang w:val="en-US"/>
        </w:rPr>
        <w:t>To introduce regulations governing the securities market, the products</w:t>
      </w:r>
      <w:r w:rsidR="00100645" w:rsidRPr="000A58B2">
        <w:rPr>
          <w:lang w:val="en-US"/>
        </w:rPr>
        <w:t>’</w:t>
      </w:r>
      <w:r w:rsidR="006D1AF4" w:rsidRPr="000A58B2">
        <w:rPr>
          <w:lang w:val="en-US"/>
        </w:rPr>
        <w:t xml:space="preserve"> market and the collective fun</w:t>
      </w:r>
      <w:r w:rsidR="00100645" w:rsidRPr="000A58B2">
        <w:rPr>
          <w:lang w:val="en-US"/>
        </w:rPr>
        <w:t>d</w:t>
      </w:r>
      <w:r w:rsidR="006D1AF4" w:rsidRPr="000A58B2">
        <w:rPr>
          <w:lang w:val="en-US"/>
        </w:rPr>
        <w:t>s system</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b. </w:t>
      </w:r>
      <w:r w:rsidR="00100645" w:rsidRPr="000A58B2">
        <w:rPr>
          <w:lang w:val="en-US"/>
        </w:rPr>
        <w:t xml:space="preserve">To ensure the natural and juridical persons participating in the </w:t>
      </w:r>
      <w:r w:rsidR="006D1AF4" w:rsidRPr="000A58B2">
        <w:rPr>
          <w:lang w:val="en-US"/>
        </w:rPr>
        <w:t>securities market, the products</w:t>
      </w:r>
      <w:r w:rsidR="00100645" w:rsidRPr="000A58B2">
        <w:rPr>
          <w:lang w:val="en-US"/>
        </w:rPr>
        <w:t>’</w:t>
      </w:r>
      <w:r w:rsidR="006D1AF4" w:rsidRPr="000A58B2">
        <w:rPr>
          <w:lang w:val="en-US"/>
        </w:rPr>
        <w:t xml:space="preserve"> market and </w:t>
      </w:r>
      <w:r w:rsidR="00100645" w:rsidRPr="000A58B2">
        <w:rPr>
          <w:lang w:val="en-US"/>
        </w:rPr>
        <w:t>the collective funds system</w:t>
      </w:r>
      <w:r w:rsidR="00ED12F3">
        <w:rPr>
          <w:lang w:val="en-US"/>
        </w:rPr>
        <w:t xml:space="preserve"> </w:t>
      </w:r>
      <w:r w:rsidR="00100645" w:rsidRPr="000A58B2">
        <w:rPr>
          <w:lang w:val="en-US"/>
        </w:rPr>
        <w:t>comply with the law</w:t>
      </w:r>
      <w:r w:rsidR="006D1AF4" w:rsidRPr="000A58B2">
        <w:rPr>
          <w:lang w:val="en-US"/>
        </w:rPr>
        <w:t>.</w:t>
      </w:r>
    </w:p>
    <w:p w:rsidR="00A81D0E" w:rsidRPr="000A58B2" w:rsidRDefault="00ED12F3" w:rsidP="00A81D0E">
      <w:pPr>
        <w:spacing w:before="100" w:beforeAutospacing="1" w:afterAutospacing="1"/>
        <w:rPr>
          <w:lang w:val="en-US"/>
        </w:rPr>
      </w:pPr>
      <w:r>
        <w:rPr>
          <w:lang w:val="en-US"/>
        </w:rPr>
        <w:t>Individuals</w:t>
      </w:r>
      <w:r w:rsidRPr="000A58B2">
        <w:rPr>
          <w:lang w:val="en-US"/>
        </w:rPr>
        <w:t xml:space="preserve"> </w:t>
      </w:r>
      <w:r w:rsidR="006D1AF4" w:rsidRPr="000A58B2">
        <w:rPr>
          <w:lang w:val="en-US"/>
        </w:rPr>
        <w:t xml:space="preserve">and </w:t>
      </w:r>
      <w:r>
        <w:rPr>
          <w:lang w:val="en-US"/>
        </w:rPr>
        <w:t xml:space="preserve">legal </w:t>
      </w:r>
      <w:r w:rsidR="006D1AF4" w:rsidRPr="000A58B2">
        <w:rPr>
          <w:lang w:val="en-US"/>
        </w:rPr>
        <w:t>persons subject to the oversight of</w:t>
      </w:r>
      <w:r>
        <w:rPr>
          <w:lang w:val="en-US"/>
        </w:rPr>
        <w:t xml:space="preserve"> Superintendence of </w:t>
      </w:r>
      <w:r w:rsidR="006D1AF4" w:rsidRPr="000A58B2">
        <w:rPr>
          <w:lang w:val="en-US"/>
        </w:rPr>
        <w:t xml:space="preserve">Banking, Insurance and </w:t>
      </w:r>
      <w:r>
        <w:rPr>
          <w:lang w:val="en-US"/>
        </w:rPr>
        <w:t xml:space="preserve">Private </w:t>
      </w:r>
      <w:r w:rsidR="006D1AF4" w:rsidRPr="000A58B2">
        <w:rPr>
          <w:lang w:val="en-US"/>
        </w:rPr>
        <w:t xml:space="preserve">Pension Funds </w:t>
      </w:r>
      <w:r>
        <w:rPr>
          <w:lang w:val="en-US"/>
        </w:rPr>
        <w:t xml:space="preserve">Management Companies </w:t>
      </w:r>
      <w:r w:rsidR="006D1AF4" w:rsidRPr="000A58B2">
        <w:rPr>
          <w:lang w:val="en-US"/>
        </w:rPr>
        <w:t xml:space="preserve">hereafter </w:t>
      </w:r>
      <w:r w:rsidR="00A81D0E" w:rsidRPr="000A58B2">
        <w:rPr>
          <w:lang w:val="en-US"/>
        </w:rPr>
        <w:t xml:space="preserve">SBS) </w:t>
      </w:r>
      <w:r w:rsidR="006D1AF4" w:rsidRPr="000A58B2">
        <w:rPr>
          <w:lang w:val="en-US"/>
        </w:rPr>
        <w:t xml:space="preserve">are also subject to oversight by SMV as regards their participation in the securities market under </w:t>
      </w:r>
      <w:r w:rsidR="00100645" w:rsidRPr="000A58B2">
        <w:rPr>
          <w:lang w:val="en-US"/>
        </w:rPr>
        <w:t>SMV</w:t>
      </w:r>
      <w:r w:rsidR="006D1AF4" w:rsidRPr="000A58B2">
        <w:rPr>
          <w:lang w:val="en-US"/>
        </w:rPr>
        <w:t xml:space="preserve"> oversight</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c. </w:t>
      </w:r>
      <w:r w:rsidR="00100645" w:rsidRPr="000A58B2">
        <w:rPr>
          <w:lang w:val="en-US"/>
        </w:rPr>
        <w:t>To p</w:t>
      </w:r>
      <w:r w:rsidR="006D1AF4" w:rsidRPr="000A58B2">
        <w:rPr>
          <w:lang w:val="en-US"/>
        </w:rPr>
        <w:t>romote and study the securities market, the products</w:t>
      </w:r>
      <w:r w:rsidR="00100645" w:rsidRPr="000A58B2">
        <w:rPr>
          <w:lang w:val="en-US"/>
        </w:rPr>
        <w:t>’</w:t>
      </w:r>
      <w:r w:rsidR="006D1AF4" w:rsidRPr="000A58B2">
        <w:rPr>
          <w:lang w:val="en-US"/>
        </w:rPr>
        <w:t xml:space="preserve"> market and the collective funds system.</w:t>
      </w:r>
    </w:p>
    <w:p w:rsidR="00A81D0E" w:rsidRPr="000A58B2" w:rsidRDefault="006D1AF4" w:rsidP="00A81D0E">
      <w:pPr>
        <w:spacing w:before="100" w:beforeAutospacing="1" w:afterAutospacing="1"/>
        <w:rPr>
          <w:lang w:val="en-US"/>
        </w:rPr>
      </w:pPr>
      <w:r w:rsidRPr="000A58B2">
        <w:rPr>
          <w:lang w:val="en-US"/>
        </w:rPr>
        <w:t xml:space="preserve">In addition, SMV oversees auditing companies authorized by any of the Peruvian public accountants associations of all international auditing standards whose services are retained by </w:t>
      </w:r>
      <w:r w:rsidR="00ED12F3">
        <w:rPr>
          <w:lang w:val="en-US"/>
        </w:rPr>
        <w:t>individuals</w:t>
      </w:r>
      <w:r w:rsidR="00ED12F3" w:rsidRPr="000A58B2">
        <w:rPr>
          <w:lang w:val="en-US"/>
        </w:rPr>
        <w:t xml:space="preserve"> </w:t>
      </w:r>
      <w:r w:rsidRPr="000A58B2">
        <w:rPr>
          <w:lang w:val="en-US"/>
        </w:rPr>
        <w:t xml:space="preserve">or </w:t>
      </w:r>
      <w:r w:rsidR="00ED12F3">
        <w:rPr>
          <w:lang w:val="en-US"/>
        </w:rPr>
        <w:t xml:space="preserve">legal </w:t>
      </w:r>
      <w:r w:rsidRPr="000A58B2">
        <w:rPr>
          <w:lang w:val="en-US"/>
        </w:rPr>
        <w:t xml:space="preserve">persons subject to SMV oversight, to ensure they will abide by the guidelines </w:t>
      </w:r>
      <w:r w:rsidR="002E3449" w:rsidRPr="000A58B2">
        <w:rPr>
          <w:lang w:val="en-US"/>
        </w:rPr>
        <w:t>it</w:t>
      </w:r>
      <w:r w:rsidR="001F74EF" w:rsidRPr="000A58B2">
        <w:rPr>
          <w:lang w:val="en-US"/>
        </w:rPr>
        <w:t xml:space="preserve"> is authorized to enforce. For this purpose, it may enact general dispositions in line with the abovementioned international auditing standards and require </w:t>
      </w:r>
      <w:r w:rsidR="002E3449" w:rsidRPr="000A58B2">
        <w:rPr>
          <w:lang w:val="en-US"/>
        </w:rPr>
        <w:t>the above organizations</w:t>
      </w:r>
      <w:r w:rsidR="001F74EF" w:rsidRPr="000A58B2">
        <w:rPr>
          <w:lang w:val="en-US"/>
        </w:rPr>
        <w:t xml:space="preserve"> to provide </w:t>
      </w:r>
      <w:r w:rsidR="002E3449" w:rsidRPr="000A58B2">
        <w:rPr>
          <w:lang w:val="en-US"/>
        </w:rPr>
        <w:t>any</w:t>
      </w:r>
      <w:r w:rsidR="001F74EF" w:rsidRPr="000A58B2">
        <w:rPr>
          <w:lang w:val="en-US"/>
        </w:rPr>
        <w:t xml:space="preserve"> information or documents </w:t>
      </w:r>
      <w:r w:rsidR="002E3449" w:rsidRPr="000A58B2">
        <w:rPr>
          <w:lang w:val="en-US"/>
        </w:rPr>
        <w:t xml:space="preserve">that </w:t>
      </w:r>
      <w:r w:rsidR="001F74EF" w:rsidRPr="000A58B2">
        <w:rPr>
          <w:lang w:val="en-US"/>
        </w:rPr>
        <w:t>may be needed to verify their compliance.</w:t>
      </w:r>
    </w:p>
    <w:p w:rsidR="00A81D0E" w:rsidRPr="000A58B2" w:rsidRDefault="001F74EF" w:rsidP="001F74EF">
      <w:pPr>
        <w:spacing w:before="100" w:beforeAutospacing="1" w:afterAutospacing="1"/>
        <w:rPr>
          <w:b/>
          <w:bCs/>
          <w:lang w:val="en-US"/>
        </w:rPr>
      </w:pPr>
      <w:r w:rsidRPr="000A58B2">
        <w:rPr>
          <w:lang w:val="en-US"/>
        </w:rPr>
        <w:t xml:space="preserve">SMV’s address of record is in the city of Lima. It may open branches nationwide to better </w:t>
      </w:r>
      <w:r w:rsidR="00ED12F3" w:rsidRPr="000A58B2">
        <w:rPr>
          <w:lang w:val="en-US"/>
        </w:rPr>
        <w:t>fulfill</w:t>
      </w:r>
      <w:r w:rsidRPr="000A58B2">
        <w:rPr>
          <w:lang w:val="en-US"/>
        </w:rPr>
        <w:t xml:space="preserve"> its role. The opening of deconcentrated offices does not modify its effective address of record in the city of Lima for purposes of court proceedings</w:t>
      </w:r>
      <w:r w:rsidR="00A81D0E" w:rsidRPr="000A58B2">
        <w:rPr>
          <w:lang w:val="en-US"/>
        </w:rPr>
        <w:t>.</w:t>
      </w:r>
    </w:p>
    <w:p w:rsidR="00A81D0E" w:rsidRPr="000A58B2" w:rsidRDefault="00A81D0E" w:rsidP="00A81D0E">
      <w:pPr>
        <w:spacing w:before="100" w:beforeAutospacing="1" w:afterAutospacing="1"/>
        <w:rPr>
          <w:sz w:val="18"/>
          <w:szCs w:val="18"/>
          <w:lang w:val="en-US"/>
        </w:rPr>
      </w:pPr>
      <w:r w:rsidRPr="000A58B2">
        <w:rPr>
          <w:bCs/>
          <w:sz w:val="18"/>
          <w:szCs w:val="18"/>
          <w:lang w:val="en-US"/>
        </w:rPr>
        <w:t xml:space="preserve">(*) </w:t>
      </w:r>
      <w:r w:rsidR="001F74EF" w:rsidRPr="000A58B2">
        <w:rPr>
          <w:bCs/>
          <w:sz w:val="18"/>
          <w:szCs w:val="18"/>
          <w:lang w:val="en-US"/>
        </w:rPr>
        <w:t>Article replaced by Article 2 under Law</w:t>
      </w:r>
      <w:hyperlink r:id="rId10" w:anchor="JD_L29782-A2" w:history="1">
        <w:r w:rsidRPr="000A58B2">
          <w:rPr>
            <w:bCs/>
            <w:sz w:val="18"/>
            <w:szCs w:val="18"/>
            <w:lang w:val="en-US"/>
          </w:rPr>
          <w:t xml:space="preserve"> Nº 29782</w:t>
        </w:r>
      </w:hyperlink>
      <w:r w:rsidRPr="000A58B2">
        <w:rPr>
          <w:bCs/>
          <w:sz w:val="18"/>
          <w:szCs w:val="18"/>
          <w:lang w:val="en-US"/>
        </w:rPr>
        <w:t>.</w:t>
      </w:r>
    </w:p>
    <w:p w:rsidR="00A81D0E" w:rsidRPr="000A58B2" w:rsidRDefault="00A81D0E" w:rsidP="00A81D0E">
      <w:pPr>
        <w:spacing w:before="100" w:beforeAutospacing="1" w:afterAutospacing="1"/>
        <w:rPr>
          <w:lang w:val="en-US"/>
        </w:rPr>
      </w:pPr>
      <w:r w:rsidRPr="000A58B2">
        <w:rPr>
          <w:b/>
          <w:bCs/>
          <w:lang w:val="en-US"/>
        </w:rPr>
        <w:t>Art</w:t>
      </w:r>
      <w:r w:rsidR="001F74EF" w:rsidRPr="000A58B2">
        <w:rPr>
          <w:b/>
          <w:bCs/>
          <w:lang w:val="en-US"/>
        </w:rPr>
        <w:t>icle</w:t>
      </w:r>
      <w:r w:rsidRPr="000A58B2">
        <w:rPr>
          <w:b/>
          <w:bCs/>
          <w:lang w:val="en-US"/>
        </w:rPr>
        <w:t xml:space="preserve"> 2. </w:t>
      </w:r>
      <w:r w:rsidR="001F74EF" w:rsidRPr="000A58B2">
        <w:rPr>
          <w:b/>
          <w:bCs/>
          <w:lang w:val="en-US"/>
        </w:rPr>
        <w:t>Appointment and removal of th</w:t>
      </w:r>
      <w:r w:rsidR="002E3449" w:rsidRPr="000A58B2">
        <w:rPr>
          <w:b/>
          <w:bCs/>
          <w:lang w:val="en-US"/>
        </w:rPr>
        <w:t xml:space="preserve">e </w:t>
      </w:r>
      <w:r w:rsidR="00ED12F3">
        <w:rPr>
          <w:b/>
          <w:bCs/>
          <w:lang w:val="en-US"/>
        </w:rPr>
        <w:t xml:space="preserve">Superintendence of </w:t>
      </w:r>
      <w:r w:rsidR="002E3449" w:rsidRPr="000A58B2">
        <w:rPr>
          <w:b/>
          <w:bCs/>
          <w:lang w:val="en-US"/>
        </w:rPr>
        <w:t xml:space="preserve">Securities Market </w:t>
      </w:r>
      <w:r w:rsidRPr="000A58B2">
        <w:rPr>
          <w:bCs/>
          <w:lang w:val="en-US"/>
        </w:rPr>
        <w:t>(*)</w:t>
      </w:r>
    </w:p>
    <w:p w:rsidR="00A81D0E" w:rsidRPr="000A58B2" w:rsidRDefault="001F74EF" w:rsidP="001F74EF">
      <w:pPr>
        <w:spacing w:before="100" w:beforeAutospacing="1" w:afterAutospacing="1"/>
        <w:rPr>
          <w:lang w:val="en-US"/>
        </w:rPr>
      </w:pPr>
      <w:r w:rsidRPr="000A58B2">
        <w:rPr>
          <w:lang w:val="en-US"/>
        </w:rPr>
        <w:t>Th</w:t>
      </w:r>
      <w:r w:rsidR="002E3449" w:rsidRPr="000A58B2">
        <w:rPr>
          <w:lang w:val="en-US"/>
        </w:rPr>
        <w:t>e Securities Market Superintende</w:t>
      </w:r>
      <w:r w:rsidRPr="000A58B2">
        <w:rPr>
          <w:lang w:val="en-US"/>
        </w:rPr>
        <w:t xml:space="preserve">nt is the SMV’s </w:t>
      </w:r>
      <w:r w:rsidR="002E3449" w:rsidRPr="000A58B2">
        <w:rPr>
          <w:lang w:val="en-US"/>
        </w:rPr>
        <w:t>highest ranking</w:t>
      </w:r>
      <w:r w:rsidRPr="000A58B2">
        <w:rPr>
          <w:lang w:val="en-US"/>
        </w:rPr>
        <w:t xml:space="preserve"> executive authority and </w:t>
      </w:r>
      <w:r w:rsidR="002E3449" w:rsidRPr="000A58B2">
        <w:rPr>
          <w:lang w:val="en-US"/>
        </w:rPr>
        <w:t xml:space="preserve">is the </w:t>
      </w:r>
      <w:r w:rsidRPr="000A58B2">
        <w:rPr>
          <w:lang w:val="en-US"/>
        </w:rPr>
        <w:t>official responsible for the organization</w:t>
      </w:r>
      <w:r w:rsidR="002E3449" w:rsidRPr="000A58B2">
        <w:rPr>
          <w:lang w:val="en-US"/>
        </w:rPr>
        <w:t>’s budget.</w:t>
      </w:r>
      <w:r w:rsidR="00CD0FE8">
        <w:rPr>
          <w:lang w:val="en-US"/>
        </w:rPr>
        <w:t xml:space="preserve"> </w:t>
      </w:r>
      <w:r w:rsidR="002E3449" w:rsidRPr="000A58B2">
        <w:rPr>
          <w:lang w:val="en-US"/>
        </w:rPr>
        <w:t>The Superintende</w:t>
      </w:r>
      <w:r w:rsidRPr="000A58B2">
        <w:rPr>
          <w:lang w:val="en-US"/>
        </w:rPr>
        <w:t xml:space="preserve">nt </w:t>
      </w:r>
      <w:r w:rsidR="002E3449" w:rsidRPr="000A58B2">
        <w:rPr>
          <w:lang w:val="en-US"/>
        </w:rPr>
        <w:t>chairs</w:t>
      </w:r>
      <w:r w:rsidRPr="000A58B2">
        <w:rPr>
          <w:lang w:val="en-US"/>
        </w:rPr>
        <w:t xml:space="preserve"> the organization’s Board of Directors and is SMV’s official </w:t>
      </w:r>
      <w:r w:rsidR="002E3449" w:rsidRPr="000A58B2">
        <w:rPr>
          <w:lang w:val="en-US"/>
        </w:rPr>
        <w:t>representative. The Superintende</w:t>
      </w:r>
      <w:r w:rsidRPr="000A58B2">
        <w:rPr>
          <w:lang w:val="en-US"/>
        </w:rPr>
        <w:t xml:space="preserve">nt is appointed by the Executive Branch </w:t>
      </w:r>
      <w:r w:rsidR="002E3449" w:rsidRPr="000A58B2">
        <w:rPr>
          <w:lang w:val="en-US"/>
        </w:rPr>
        <w:t>by virtue of</w:t>
      </w:r>
      <w:r w:rsidRPr="000A58B2">
        <w:rPr>
          <w:lang w:val="en-US"/>
        </w:rPr>
        <w:t xml:space="preserve"> a </w:t>
      </w:r>
      <w:r w:rsidR="002E3449" w:rsidRPr="000A58B2">
        <w:rPr>
          <w:lang w:val="en-US"/>
        </w:rPr>
        <w:t xml:space="preserve">Supreme Resolution </w:t>
      </w:r>
      <w:r w:rsidRPr="000A58B2">
        <w:rPr>
          <w:lang w:val="en-US"/>
        </w:rPr>
        <w:t>signed by the Minist</w:t>
      </w:r>
      <w:r w:rsidR="002E3449" w:rsidRPr="000A58B2">
        <w:rPr>
          <w:lang w:val="en-US"/>
        </w:rPr>
        <w:t>er</w:t>
      </w:r>
      <w:r w:rsidRPr="000A58B2">
        <w:rPr>
          <w:lang w:val="en-US"/>
        </w:rPr>
        <w:t xml:space="preserve"> of Economy and Finance. </w:t>
      </w:r>
    </w:p>
    <w:p w:rsidR="00A81D0E" w:rsidRPr="000A58B2" w:rsidRDefault="001F74EF" w:rsidP="00A81D0E">
      <w:pPr>
        <w:spacing w:before="100" w:beforeAutospacing="1" w:afterAutospacing="1"/>
        <w:rPr>
          <w:lang w:val="en-US"/>
        </w:rPr>
      </w:pPr>
      <w:r w:rsidRPr="000A58B2">
        <w:rPr>
          <w:lang w:val="en-US"/>
        </w:rPr>
        <w:t xml:space="preserve">The Superintendent is elected for a period of </w:t>
      </w:r>
      <w:r w:rsidR="002E3449" w:rsidRPr="000A58B2">
        <w:rPr>
          <w:lang w:val="en-US"/>
        </w:rPr>
        <w:t xml:space="preserve">six years, and may not be </w:t>
      </w:r>
      <w:r w:rsidR="00ED12F3" w:rsidRPr="000A58B2">
        <w:rPr>
          <w:lang w:val="en-US"/>
        </w:rPr>
        <w:t>reelected</w:t>
      </w:r>
      <w:r w:rsidR="002E3449" w:rsidRPr="000A58B2">
        <w:rPr>
          <w:lang w:val="en-US"/>
        </w:rPr>
        <w:t xml:space="preserve"> for consecutive periods.  The Superintende</w:t>
      </w:r>
      <w:r w:rsidRPr="000A58B2">
        <w:rPr>
          <w:lang w:val="en-US"/>
        </w:rPr>
        <w:t xml:space="preserve">nt will continue exercising </w:t>
      </w:r>
      <w:r w:rsidR="002E3449" w:rsidRPr="000A58B2">
        <w:rPr>
          <w:lang w:val="en-US"/>
        </w:rPr>
        <w:t>his/her</w:t>
      </w:r>
      <w:r w:rsidR="00ED12F3">
        <w:rPr>
          <w:lang w:val="en-US"/>
        </w:rPr>
        <w:t xml:space="preserve"> </w:t>
      </w:r>
      <w:r w:rsidR="00ED12F3" w:rsidRPr="000A58B2">
        <w:rPr>
          <w:lang w:val="en-US"/>
        </w:rPr>
        <w:t>functions</w:t>
      </w:r>
      <w:r w:rsidR="00ED12F3">
        <w:rPr>
          <w:lang w:val="en-US"/>
        </w:rPr>
        <w:t xml:space="preserve"> </w:t>
      </w:r>
      <w:r w:rsidR="002E3449" w:rsidRPr="000A58B2">
        <w:rPr>
          <w:lang w:val="en-US"/>
        </w:rPr>
        <w:t>pending the appointment of his/her</w:t>
      </w:r>
      <w:r w:rsidR="00ED12F3">
        <w:rPr>
          <w:lang w:val="en-US"/>
        </w:rPr>
        <w:t xml:space="preserve"> </w:t>
      </w:r>
      <w:r w:rsidR="00ED12F3" w:rsidRPr="000A58B2">
        <w:rPr>
          <w:lang w:val="en-US"/>
        </w:rPr>
        <w:lastRenderedPageBreak/>
        <w:t>successor</w:t>
      </w:r>
      <w:r w:rsidR="00ED12F3">
        <w:rPr>
          <w:lang w:val="en-US"/>
        </w:rPr>
        <w:t xml:space="preserve">. </w:t>
      </w:r>
      <w:r w:rsidR="002E3449" w:rsidRPr="000A58B2">
        <w:rPr>
          <w:lang w:val="en-US"/>
        </w:rPr>
        <w:t>The Superintende</w:t>
      </w:r>
      <w:r w:rsidR="002E0F92" w:rsidRPr="000A58B2">
        <w:rPr>
          <w:lang w:val="en-US"/>
        </w:rPr>
        <w:t xml:space="preserve">nt’s position is </w:t>
      </w:r>
      <w:r w:rsidR="002E3449" w:rsidRPr="000A58B2">
        <w:rPr>
          <w:lang w:val="en-US"/>
        </w:rPr>
        <w:t>exercised</w:t>
      </w:r>
      <w:r w:rsidR="002E0F92" w:rsidRPr="000A58B2">
        <w:rPr>
          <w:lang w:val="en-US"/>
        </w:rPr>
        <w:t xml:space="preserve"> on a full time basis, excepting for teaching functions. </w:t>
      </w:r>
    </w:p>
    <w:p w:rsidR="00A81D0E" w:rsidRPr="000A58B2" w:rsidRDefault="002E3449" w:rsidP="00A81D0E">
      <w:pPr>
        <w:spacing w:before="100" w:beforeAutospacing="1" w:afterAutospacing="1"/>
        <w:rPr>
          <w:lang w:val="en-US"/>
        </w:rPr>
      </w:pPr>
      <w:r w:rsidRPr="000A58B2">
        <w:rPr>
          <w:lang w:val="en-US"/>
        </w:rPr>
        <w:t xml:space="preserve">Candidates to the position of </w:t>
      </w:r>
      <w:r w:rsidR="00ED12F3">
        <w:rPr>
          <w:lang w:val="en-US"/>
        </w:rPr>
        <w:t xml:space="preserve">Superintendent of </w:t>
      </w:r>
      <w:r w:rsidRPr="000A58B2">
        <w:rPr>
          <w:lang w:val="en-US"/>
        </w:rPr>
        <w:t xml:space="preserve">Securities Market must </w:t>
      </w:r>
      <w:r w:rsidR="002E0F92" w:rsidRPr="000A58B2">
        <w:rPr>
          <w:lang w:val="en-US"/>
        </w:rPr>
        <w:t xml:space="preserve">be Peruvian citizens in full exercise of their civil rights, enjoy recognized moral solvency and probity, and have wide experience </w:t>
      </w:r>
      <w:r w:rsidRPr="000A58B2">
        <w:rPr>
          <w:lang w:val="en-US"/>
        </w:rPr>
        <w:t>and</w:t>
      </w:r>
      <w:r w:rsidR="002E0F92" w:rsidRPr="000A58B2">
        <w:rPr>
          <w:lang w:val="en-US"/>
        </w:rPr>
        <w:t xml:space="preserve"> skills in economic, financial and securities ma</w:t>
      </w:r>
      <w:r w:rsidRPr="000A58B2">
        <w:rPr>
          <w:lang w:val="en-US"/>
        </w:rPr>
        <w:t>rkets</w:t>
      </w:r>
      <w:r w:rsidR="002E0F92" w:rsidRPr="000A58B2">
        <w:rPr>
          <w:lang w:val="en-US"/>
        </w:rPr>
        <w:t xml:space="preserve"> issues.   </w:t>
      </w:r>
    </w:p>
    <w:p w:rsidR="00A81D0E" w:rsidRPr="000A58B2" w:rsidRDefault="002E0F92" w:rsidP="00A81D0E">
      <w:pPr>
        <w:spacing w:before="100" w:beforeAutospacing="1" w:afterAutospacing="1"/>
        <w:rPr>
          <w:lang w:val="en-US"/>
        </w:rPr>
      </w:pPr>
      <w:r w:rsidRPr="000A58B2">
        <w:rPr>
          <w:lang w:val="en-US"/>
        </w:rPr>
        <w:t xml:space="preserve">If for any reason, the Superintendent </w:t>
      </w:r>
      <w:r w:rsidR="002E3449" w:rsidRPr="000A58B2">
        <w:rPr>
          <w:lang w:val="en-US"/>
        </w:rPr>
        <w:t>cannot</w:t>
      </w:r>
      <w:r w:rsidRPr="000A58B2">
        <w:rPr>
          <w:lang w:val="en-US"/>
        </w:rPr>
        <w:t xml:space="preserve"> complete the period for which he/she was appointed, </w:t>
      </w:r>
      <w:r w:rsidR="002E3449" w:rsidRPr="000A58B2">
        <w:rPr>
          <w:lang w:val="en-US"/>
        </w:rPr>
        <w:t>his/her</w:t>
      </w:r>
      <w:r w:rsidR="00ED12F3">
        <w:rPr>
          <w:lang w:val="en-US"/>
        </w:rPr>
        <w:t xml:space="preserve"> </w:t>
      </w:r>
      <w:r w:rsidR="00ED12F3" w:rsidRPr="000A58B2">
        <w:rPr>
          <w:lang w:val="en-US"/>
        </w:rPr>
        <w:t>successor</w:t>
      </w:r>
      <w:r w:rsidRPr="000A58B2">
        <w:rPr>
          <w:lang w:val="en-US"/>
        </w:rPr>
        <w:t xml:space="preserve"> will be appointed within sixty days of the former’s</w:t>
      </w:r>
      <w:r w:rsidR="00ED12F3">
        <w:rPr>
          <w:lang w:val="en-US"/>
        </w:rPr>
        <w:t xml:space="preserve"> </w:t>
      </w:r>
      <w:r w:rsidR="00ED12F3" w:rsidRPr="000A58B2">
        <w:rPr>
          <w:lang w:val="en-US"/>
        </w:rPr>
        <w:t>cessation</w:t>
      </w:r>
      <w:r w:rsidR="00B33327" w:rsidRPr="000A58B2">
        <w:rPr>
          <w:lang w:val="en-US"/>
        </w:rPr>
        <w:t xml:space="preserve"> of activities, and will perform his/her predecessor</w:t>
      </w:r>
      <w:r w:rsidR="002E3449" w:rsidRPr="000A58B2">
        <w:rPr>
          <w:lang w:val="en-US"/>
        </w:rPr>
        <w:t>’</w:t>
      </w:r>
      <w:r w:rsidR="00B33327" w:rsidRPr="000A58B2">
        <w:rPr>
          <w:lang w:val="en-US"/>
        </w:rPr>
        <w:t xml:space="preserve">s functions until the end of the latter’s </w:t>
      </w:r>
      <w:r w:rsidR="002E3449" w:rsidRPr="000A58B2">
        <w:rPr>
          <w:lang w:val="en-US"/>
        </w:rPr>
        <w:t xml:space="preserve">original </w:t>
      </w:r>
      <w:r w:rsidR="00B33327" w:rsidRPr="000A58B2">
        <w:rPr>
          <w:lang w:val="en-US"/>
        </w:rPr>
        <w:t>term.</w:t>
      </w:r>
    </w:p>
    <w:p w:rsidR="00A81D0E" w:rsidRPr="000A58B2" w:rsidRDefault="00B33327" w:rsidP="00A81D0E">
      <w:pPr>
        <w:spacing w:before="100" w:beforeAutospacing="1" w:afterAutospacing="1"/>
        <w:rPr>
          <w:lang w:val="en-US"/>
        </w:rPr>
      </w:pPr>
      <w:r w:rsidRPr="000A58B2">
        <w:rPr>
          <w:lang w:val="en-US"/>
        </w:rPr>
        <w:t xml:space="preserve">The removal of the Superintendent </w:t>
      </w:r>
      <w:r w:rsidR="00ED12F3">
        <w:rPr>
          <w:lang w:val="en-US"/>
        </w:rPr>
        <w:t xml:space="preserve">of </w:t>
      </w:r>
      <w:r w:rsidR="00ED12F3" w:rsidRPr="000A58B2">
        <w:rPr>
          <w:lang w:val="en-US"/>
        </w:rPr>
        <w:t xml:space="preserve">Securities Market </w:t>
      </w:r>
      <w:r w:rsidRPr="000A58B2">
        <w:rPr>
          <w:lang w:val="en-US"/>
        </w:rPr>
        <w:t xml:space="preserve">is a prerogative of the </w:t>
      </w:r>
      <w:r w:rsidR="00ED12F3">
        <w:rPr>
          <w:lang w:val="en-US"/>
        </w:rPr>
        <w:t xml:space="preserve">Government </w:t>
      </w:r>
      <w:r w:rsidR="002E3449" w:rsidRPr="000A58B2">
        <w:rPr>
          <w:lang w:val="en-US"/>
        </w:rPr>
        <w:t>by virtue of</w:t>
      </w:r>
      <w:r w:rsidRPr="000A58B2">
        <w:rPr>
          <w:lang w:val="en-US"/>
        </w:rPr>
        <w:t xml:space="preserve"> a Supreme Resolution signed by the </w:t>
      </w:r>
      <w:r w:rsidR="002E3449" w:rsidRPr="000A58B2">
        <w:rPr>
          <w:lang w:val="en-US"/>
        </w:rPr>
        <w:t>Minister</w:t>
      </w:r>
      <w:r w:rsidRPr="000A58B2">
        <w:rPr>
          <w:lang w:val="en-US"/>
        </w:rPr>
        <w:t xml:space="preserve"> of Economy and Finance in the following cases</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 </w:t>
      </w:r>
      <w:r w:rsidR="00C0772C" w:rsidRPr="000A58B2">
        <w:rPr>
          <w:lang w:val="en-US"/>
        </w:rPr>
        <w:t>If</w:t>
      </w:r>
      <w:r w:rsidR="002E3449" w:rsidRPr="000A58B2">
        <w:rPr>
          <w:lang w:val="en-US"/>
        </w:rPr>
        <w:t xml:space="preserve"> during the performance of his/</w:t>
      </w:r>
      <w:r w:rsidR="00B33327" w:rsidRPr="000A58B2">
        <w:rPr>
          <w:lang w:val="en-US"/>
        </w:rPr>
        <w:t xml:space="preserve">her functions, the Superintendent incurs in a </w:t>
      </w:r>
      <w:r w:rsidR="002E3449" w:rsidRPr="000A58B2">
        <w:rPr>
          <w:lang w:val="en-US"/>
        </w:rPr>
        <w:t>duly proven</w:t>
      </w:r>
      <w:r w:rsidR="00B33327" w:rsidRPr="000A58B2">
        <w:rPr>
          <w:lang w:val="en-US"/>
        </w:rPr>
        <w:t xml:space="preserve"> and </w:t>
      </w:r>
      <w:r w:rsidR="002E3449" w:rsidRPr="000A58B2">
        <w:rPr>
          <w:lang w:val="en-US"/>
        </w:rPr>
        <w:t>documented</w:t>
      </w:r>
      <w:r w:rsidR="00B33327" w:rsidRPr="000A58B2">
        <w:rPr>
          <w:lang w:val="en-US"/>
        </w:rPr>
        <w:t xml:space="preserve"> serious offense, as </w:t>
      </w:r>
      <w:r w:rsidR="002E3449" w:rsidRPr="000A58B2">
        <w:rPr>
          <w:lang w:val="en-US"/>
        </w:rPr>
        <w:t>established</w:t>
      </w:r>
      <w:r w:rsidR="00B33327" w:rsidRPr="000A58B2">
        <w:rPr>
          <w:lang w:val="en-US"/>
        </w:rPr>
        <w:t xml:space="preserve"> by the Ministry of Economy and Finance</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2. </w:t>
      </w:r>
      <w:r w:rsidR="00C0772C" w:rsidRPr="000A58B2">
        <w:rPr>
          <w:lang w:val="en-US"/>
        </w:rPr>
        <w:t>If</w:t>
      </w:r>
      <w:r w:rsidR="00B33327" w:rsidRPr="000A58B2">
        <w:rPr>
          <w:lang w:val="en-US"/>
        </w:rPr>
        <w:t xml:space="preserve"> a definitive arrest sentence is </w:t>
      </w:r>
      <w:r w:rsidR="0065041C" w:rsidRPr="000A58B2">
        <w:rPr>
          <w:lang w:val="en-US"/>
        </w:rPr>
        <w:t>issued</w:t>
      </w:r>
      <w:r w:rsidR="00B33327" w:rsidRPr="000A58B2">
        <w:rPr>
          <w:lang w:val="en-US"/>
        </w:rPr>
        <w:t xml:space="preserve"> against the Superintendent.</w:t>
      </w:r>
    </w:p>
    <w:p w:rsidR="00A81D0E" w:rsidRPr="000A58B2" w:rsidRDefault="00B33327" w:rsidP="00A81D0E">
      <w:pPr>
        <w:spacing w:before="100" w:beforeAutospacing="1" w:afterAutospacing="1"/>
        <w:rPr>
          <w:lang w:val="en-US"/>
        </w:rPr>
      </w:pPr>
      <w:r w:rsidRPr="000A58B2">
        <w:rPr>
          <w:lang w:val="en-US"/>
        </w:rPr>
        <w:t>The foll</w:t>
      </w:r>
      <w:r w:rsidR="002E3449" w:rsidRPr="000A58B2">
        <w:rPr>
          <w:lang w:val="en-US"/>
        </w:rPr>
        <w:t xml:space="preserve">owing are serious offenses </w:t>
      </w:r>
      <w:r w:rsidRPr="000A58B2">
        <w:rPr>
          <w:lang w:val="en-US"/>
        </w:rPr>
        <w:t xml:space="preserve">by the </w:t>
      </w:r>
      <w:r w:rsidR="00AB2835">
        <w:rPr>
          <w:lang w:val="en-US"/>
        </w:rPr>
        <w:t xml:space="preserve">Superintendence of </w:t>
      </w:r>
      <w:r w:rsidRPr="000A58B2">
        <w:rPr>
          <w:lang w:val="en-US"/>
        </w:rPr>
        <w:t>Securities Market</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a. </w:t>
      </w:r>
      <w:r w:rsidR="0065041C" w:rsidRPr="000A58B2">
        <w:rPr>
          <w:lang w:val="en-US"/>
        </w:rPr>
        <w:t>Fail</w:t>
      </w:r>
      <w:r w:rsidR="00B33327" w:rsidRPr="000A58B2">
        <w:rPr>
          <w:lang w:val="en-US"/>
        </w:rPr>
        <w:t xml:space="preserve"> to adopt the necessary measures to sanction, </w:t>
      </w:r>
      <w:r w:rsidR="0065041C" w:rsidRPr="000A58B2">
        <w:rPr>
          <w:lang w:val="en-US"/>
        </w:rPr>
        <w:t>when</w:t>
      </w:r>
      <w:r w:rsidR="00B33327" w:rsidRPr="000A58B2">
        <w:rPr>
          <w:lang w:val="en-US"/>
        </w:rPr>
        <w:t xml:space="preserve"> appropriate, those who engage in activities exclusively permitted to individuals authorized by the SMV</w:t>
      </w:r>
      <w:r w:rsidR="0065041C" w:rsidRPr="000A58B2">
        <w:rPr>
          <w:lang w:val="en-US"/>
        </w:rPr>
        <w:t xml:space="preserve"> without the required authorization</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b. </w:t>
      </w:r>
      <w:r w:rsidR="00B33327" w:rsidRPr="000A58B2">
        <w:rPr>
          <w:lang w:val="en-US"/>
        </w:rPr>
        <w:t xml:space="preserve">Incur in the offenses determined by paragraphs </w:t>
      </w:r>
      <w:r w:rsidRPr="000A58B2">
        <w:rPr>
          <w:lang w:val="en-US"/>
        </w:rPr>
        <w:t xml:space="preserve">a) </w:t>
      </w:r>
      <w:r w:rsidR="00B33327" w:rsidRPr="000A58B2">
        <w:rPr>
          <w:lang w:val="en-US"/>
        </w:rPr>
        <w:t>to</w:t>
      </w:r>
      <w:r w:rsidRPr="000A58B2">
        <w:rPr>
          <w:lang w:val="en-US"/>
        </w:rPr>
        <w:t xml:space="preserve"> n) </w:t>
      </w:r>
      <w:r w:rsidR="00B33327" w:rsidRPr="000A58B2">
        <w:rPr>
          <w:lang w:val="en-US"/>
        </w:rPr>
        <w:t>under article</w:t>
      </w:r>
      <w:r w:rsidRPr="000A58B2">
        <w:rPr>
          <w:lang w:val="en-US"/>
        </w:rPr>
        <w:t xml:space="preserve"> 6 </w:t>
      </w:r>
      <w:r w:rsidR="00B33327" w:rsidRPr="000A58B2">
        <w:rPr>
          <w:lang w:val="en-US"/>
        </w:rPr>
        <w:t xml:space="preserve">and provisions determined by article </w:t>
      </w:r>
      <w:r w:rsidRPr="000A58B2">
        <w:rPr>
          <w:lang w:val="en-US"/>
        </w:rPr>
        <w:t>8.</w:t>
      </w:r>
    </w:p>
    <w:p w:rsidR="00A81D0E" w:rsidRPr="000A58B2" w:rsidRDefault="00A81D0E" w:rsidP="00A81D0E">
      <w:pPr>
        <w:spacing w:before="100" w:beforeAutospacing="1" w:afterAutospacing="1"/>
        <w:rPr>
          <w:b/>
          <w:bCs/>
          <w:lang w:val="en-US"/>
        </w:rPr>
      </w:pPr>
      <w:r w:rsidRPr="000A58B2">
        <w:rPr>
          <w:lang w:val="en-US"/>
        </w:rPr>
        <w:t xml:space="preserve">c. </w:t>
      </w:r>
      <w:r w:rsidR="0065041C" w:rsidRPr="000A58B2">
        <w:rPr>
          <w:lang w:val="en-US"/>
        </w:rPr>
        <w:t>Fail</w:t>
      </w:r>
      <w:r w:rsidR="00B33327" w:rsidRPr="000A58B2">
        <w:rPr>
          <w:lang w:val="en-US"/>
        </w:rPr>
        <w:t xml:space="preserve"> to punish natural or juridical persons who </w:t>
      </w:r>
      <w:r w:rsidR="0065041C" w:rsidRPr="000A58B2">
        <w:rPr>
          <w:lang w:val="en-US"/>
        </w:rPr>
        <w:t>breach</w:t>
      </w:r>
      <w:r w:rsidR="00B33327" w:rsidRPr="000A58B2">
        <w:rPr>
          <w:lang w:val="en-US"/>
        </w:rPr>
        <w:t xml:space="preserve"> the provisions </w:t>
      </w:r>
      <w:r w:rsidR="0065041C" w:rsidRPr="000A58B2">
        <w:rPr>
          <w:lang w:val="en-US"/>
        </w:rPr>
        <w:t>included in</w:t>
      </w:r>
      <w:r w:rsidR="00B33327" w:rsidRPr="000A58B2">
        <w:rPr>
          <w:lang w:val="en-US"/>
        </w:rPr>
        <w:t xml:space="preserve"> SMV’s mandate</w:t>
      </w:r>
      <w:r w:rsidR="00515E76" w:rsidRPr="000A58B2">
        <w:rPr>
          <w:lang w:val="en-US"/>
        </w:rPr>
        <w:t xml:space="preserve">, when properly </w:t>
      </w:r>
      <w:r w:rsidR="0065041C" w:rsidRPr="000A58B2">
        <w:rPr>
          <w:lang w:val="en-US"/>
        </w:rPr>
        <w:t>documented</w:t>
      </w:r>
      <w:r w:rsidR="00515E76" w:rsidRPr="000A58B2">
        <w:rPr>
          <w:lang w:val="en-US"/>
        </w:rPr>
        <w:t xml:space="preserve"> information is available </w:t>
      </w:r>
      <w:r w:rsidR="0065041C" w:rsidRPr="000A58B2">
        <w:rPr>
          <w:lang w:val="en-US"/>
        </w:rPr>
        <w:t xml:space="preserve">that </w:t>
      </w:r>
      <w:r w:rsidR="00515E76" w:rsidRPr="000A58B2">
        <w:rPr>
          <w:lang w:val="en-US"/>
        </w:rPr>
        <w:t>demonstrat</w:t>
      </w:r>
      <w:r w:rsidR="0065041C" w:rsidRPr="000A58B2">
        <w:rPr>
          <w:lang w:val="en-US"/>
        </w:rPr>
        <w:t>es</w:t>
      </w:r>
      <w:r w:rsidR="00515E76" w:rsidRPr="000A58B2">
        <w:rPr>
          <w:lang w:val="en-US"/>
        </w:rPr>
        <w:t xml:space="preserve"> such breach</w:t>
      </w:r>
      <w:r w:rsidR="0065041C" w:rsidRPr="000A58B2">
        <w:rPr>
          <w:lang w:val="en-US"/>
        </w:rPr>
        <w:t xml:space="preserve"> beyond reasonable doubt</w:t>
      </w:r>
      <w:r w:rsidR="00515E76" w:rsidRPr="000A58B2">
        <w:rPr>
          <w:lang w:val="en-US"/>
        </w:rPr>
        <w:t>.</w:t>
      </w:r>
    </w:p>
    <w:p w:rsidR="00A81D0E" w:rsidRPr="000A58B2" w:rsidRDefault="00A81D0E" w:rsidP="00A81D0E">
      <w:pPr>
        <w:spacing w:before="100" w:beforeAutospacing="1" w:afterAutospacing="1"/>
        <w:rPr>
          <w:sz w:val="18"/>
          <w:szCs w:val="18"/>
          <w:lang w:val="en-US"/>
        </w:rPr>
      </w:pPr>
      <w:r w:rsidRPr="000A58B2">
        <w:rPr>
          <w:bCs/>
          <w:sz w:val="18"/>
          <w:szCs w:val="18"/>
          <w:lang w:val="en-US"/>
        </w:rPr>
        <w:t>(*)</w:t>
      </w:r>
      <w:r w:rsidR="00515E76" w:rsidRPr="000A58B2">
        <w:rPr>
          <w:bCs/>
          <w:sz w:val="18"/>
          <w:szCs w:val="18"/>
          <w:lang w:val="en-US"/>
        </w:rPr>
        <w:t xml:space="preserve"> Article replaced by Article 2 under Law</w:t>
      </w:r>
      <w:hyperlink r:id="rId11" w:anchor="JD_L29782-A2" w:history="1">
        <w:r w:rsidR="00515E76" w:rsidRPr="000A58B2">
          <w:rPr>
            <w:bCs/>
            <w:sz w:val="18"/>
            <w:szCs w:val="18"/>
            <w:lang w:val="en-US"/>
          </w:rPr>
          <w:t xml:space="preserve"> Nº 29782</w:t>
        </w:r>
      </w:hyperlink>
      <w:r w:rsidRPr="000A58B2">
        <w:rPr>
          <w:bCs/>
          <w:sz w:val="18"/>
          <w:szCs w:val="18"/>
          <w:lang w:val="en-US"/>
        </w:rPr>
        <w:t>.</w:t>
      </w:r>
    </w:p>
    <w:p w:rsidR="00A81D0E" w:rsidRPr="000A58B2" w:rsidRDefault="00A81D0E" w:rsidP="00A81D0E">
      <w:pPr>
        <w:spacing w:before="100" w:beforeAutospacing="1" w:afterAutospacing="1"/>
        <w:rPr>
          <w:lang w:val="en-US"/>
        </w:rPr>
      </w:pPr>
      <w:r w:rsidRPr="000A58B2">
        <w:rPr>
          <w:b/>
          <w:bCs/>
          <w:lang w:val="en-US"/>
        </w:rPr>
        <w:t>Ar</w:t>
      </w:r>
      <w:r w:rsidR="00515E76" w:rsidRPr="000A58B2">
        <w:rPr>
          <w:b/>
          <w:bCs/>
          <w:lang w:val="en-US"/>
        </w:rPr>
        <w:t>ticle</w:t>
      </w:r>
      <w:r w:rsidRPr="000A58B2">
        <w:rPr>
          <w:b/>
          <w:bCs/>
          <w:lang w:val="en-US"/>
        </w:rPr>
        <w:t xml:space="preserve"> 3. </w:t>
      </w:r>
      <w:r w:rsidR="00515E76" w:rsidRPr="000A58B2">
        <w:rPr>
          <w:b/>
          <w:bCs/>
          <w:lang w:val="en-US"/>
        </w:rPr>
        <w:t xml:space="preserve">Attributions of the </w:t>
      </w:r>
      <w:r w:rsidR="00AB2835">
        <w:rPr>
          <w:b/>
          <w:bCs/>
          <w:lang w:val="en-US"/>
        </w:rPr>
        <w:t xml:space="preserve">Superintendence of </w:t>
      </w:r>
      <w:r w:rsidR="00515E76" w:rsidRPr="000A58B2">
        <w:rPr>
          <w:b/>
          <w:bCs/>
          <w:lang w:val="en-US"/>
        </w:rPr>
        <w:t xml:space="preserve">Securities Market </w:t>
      </w:r>
      <w:r w:rsidRPr="000A58B2">
        <w:rPr>
          <w:bCs/>
          <w:lang w:val="en-US"/>
        </w:rPr>
        <w:t>(*)</w:t>
      </w:r>
    </w:p>
    <w:p w:rsidR="00A81D0E" w:rsidRPr="000A58B2" w:rsidRDefault="00515E76" w:rsidP="00A81D0E">
      <w:pPr>
        <w:spacing w:before="100" w:beforeAutospacing="1" w:afterAutospacing="1"/>
        <w:rPr>
          <w:lang w:val="en-US"/>
        </w:rPr>
      </w:pPr>
      <w:r w:rsidRPr="000A58B2">
        <w:rPr>
          <w:lang w:val="en-US"/>
        </w:rPr>
        <w:t xml:space="preserve">The attributions or powers of the </w:t>
      </w:r>
      <w:r w:rsidR="00AB2835">
        <w:rPr>
          <w:lang w:val="en-US"/>
        </w:rPr>
        <w:t xml:space="preserve">Superintendence of </w:t>
      </w:r>
      <w:r w:rsidR="00AB2835" w:rsidRPr="000A58B2">
        <w:rPr>
          <w:lang w:val="en-US"/>
        </w:rPr>
        <w:t>Securities</w:t>
      </w:r>
      <w:r w:rsidRPr="000A58B2">
        <w:rPr>
          <w:lang w:val="en-US"/>
        </w:rPr>
        <w:t xml:space="preserve"> Market are as follows</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 </w:t>
      </w:r>
      <w:r w:rsidR="00515E76" w:rsidRPr="000A58B2">
        <w:rPr>
          <w:lang w:val="en-US"/>
        </w:rPr>
        <w:t>Issue organization and operation authorizations to supervised juridical persons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2. </w:t>
      </w:r>
      <w:r w:rsidR="00515E76" w:rsidRPr="000A58B2">
        <w:rPr>
          <w:lang w:val="en-US"/>
        </w:rPr>
        <w:t xml:space="preserve">Authorize the operations of centralized </w:t>
      </w:r>
      <w:r w:rsidR="00A212DB">
        <w:rPr>
          <w:lang w:val="en-US"/>
        </w:rPr>
        <w:t>trading</w:t>
      </w:r>
      <w:r w:rsidR="00515E76" w:rsidRPr="000A58B2">
        <w:rPr>
          <w:lang w:val="en-US"/>
        </w:rPr>
        <w:t xml:space="preserve"> mechanisms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3. </w:t>
      </w:r>
      <w:r w:rsidR="00515E76" w:rsidRPr="000A58B2">
        <w:rPr>
          <w:lang w:val="en-US"/>
        </w:rPr>
        <w:t>Carry the Securities Market Public Registry and others as may b</w:t>
      </w:r>
      <w:r w:rsidR="0065041C" w:rsidRPr="000A58B2">
        <w:rPr>
          <w:lang w:val="en-US"/>
        </w:rPr>
        <w:t xml:space="preserve">e necessary for </w:t>
      </w:r>
      <w:r w:rsidR="00AB2835" w:rsidRPr="000A58B2">
        <w:rPr>
          <w:lang w:val="en-US"/>
        </w:rPr>
        <w:t>fulfilling</w:t>
      </w:r>
      <w:r w:rsidR="0065041C" w:rsidRPr="000A58B2">
        <w:rPr>
          <w:lang w:val="en-US"/>
        </w:rPr>
        <w:t xml:space="preserve"> his/</w:t>
      </w:r>
      <w:r w:rsidR="00515E76" w:rsidRPr="000A58B2">
        <w:rPr>
          <w:lang w:val="en-US"/>
        </w:rPr>
        <w:t>her role.</w:t>
      </w:r>
    </w:p>
    <w:p w:rsidR="00A81D0E" w:rsidRPr="000A58B2" w:rsidRDefault="00A81D0E" w:rsidP="00515E76">
      <w:pPr>
        <w:tabs>
          <w:tab w:val="left" w:pos="4253"/>
        </w:tabs>
        <w:spacing w:before="100" w:beforeAutospacing="1" w:afterAutospacing="1"/>
        <w:rPr>
          <w:lang w:val="en-US"/>
        </w:rPr>
      </w:pPr>
      <w:r w:rsidRPr="000A58B2">
        <w:rPr>
          <w:lang w:val="en-US"/>
        </w:rPr>
        <w:t xml:space="preserve">4. </w:t>
      </w:r>
      <w:r w:rsidR="0065041C" w:rsidRPr="000A58B2">
        <w:rPr>
          <w:lang w:val="en-US"/>
        </w:rPr>
        <w:t>E</w:t>
      </w:r>
      <w:r w:rsidR="00515E76" w:rsidRPr="000A58B2">
        <w:rPr>
          <w:lang w:val="en-US"/>
        </w:rPr>
        <w:t>xercise the consolidated oversight of juridical persons authorized to operate and the companies controlled by such authorized person</w:t>
      </w:r>
      <w:r w:rsidR="0065041C" w:rsidRPr="000A58B2">
        <w:rPr>
          <w:lang w:val="en-US"/>
        </w:rPr>
        <w:t>s</w:t>
      </w:r>
      <w:r w:rsidR="00515E76" w:rsidRPr="000A58B2">
        <w:rPr>
          <w:lang w:val="en-US"/>
        </w:rPr>
        <w:t xml:space="preserve">. This provision does not include companies the consolidated oversight of which is performed by the </w:t>
      </w:r>
      <w:r w:rsidR="00AB2835">
        <w:rPr>
          <w:lang w:val="en-US"/>
        </w:rPr>
        <w:t xml:space="preserve">Superintendence of Banking, Insurance and Private Pension Funds Management Companies </w:t>
      </w:r>
      <w:r w:rsidR="00515E76" w:rsidRPr="000A58B2">
        <w:rPr>
          <w:lang w:val="en-US"/>
        </w:rPr>
        <w:t xml:space="preserve">(SBS) in compliance with Law </w:t>
      </w:r>
      <w:r w:rsidRPr="000A58B2">
        <w:rPr>
          <w:lang w:val="en-US"/>
        </w:rPr>
        <w:t xml:space="preserve">26702, </w:t>
      </w:r>
      <w:r w:rsidR="00515E76" w:rsidRPr="000A58B2">
        <w:rPr>
          <w:lang w:val="en-US"/>
        </w:rPr>
        <w:t>the General Law of the Financial</w:t>
      </w:r>
      <w:r w:rsidR="0065041C" w:rsidRPr="000A58B2">
        <w:rPr>
          <w:lang w:val="en-US"/>
        </w:rPr>
        <w:t>,</w:t>
      </w:r>
      <w:r w:rsidR="00AB2835">
        <w:rPr>
          <w:lang w:val="en-US"/>
        </w:rPr>
        <w:t xml:space="preserve"> </w:t>
      </w:r>
      <w:r w:rsidR="00515E76" w:rsidRPr="000A58B2">
        <w:rPr>
          <w:lang w:val="en-US"/>
        </w:rPr>
        <w:t>and Insurance Systems</w:t>
      </w:r>
      <w:r w:rsidR="00AB2835">
        <w:rPr>
          <w:lang w:val="en-US"/>
        </w:rPr>
        <w:t xml:space="preserve"> and</w:t>
      </w:r>
      <w:r w:rsidR="00515E76" w:rsidRPr="000A58B2">
        <w:rPr>
          <w:lang w:val="en-US"/>
        </w:rPr>
        <w:t xml:space="preserve"> </w:t>
      </w:r>
      <w:r w:rsidR="00AB2835">
        <w:rPr>
          <w:lang w:val="en-US"/>
        </w:rPr>
        <w:t xml:space="preserve">SBS </w:t>
      </w:r>
      <w:r w:rsidR="00515E76" w:rsidRPr="000A58B2">
        <w:rPr>
          <w:lang w:val="en-US"/>
        </w:rPr>
        <w:t xml:space="preserve">Organic Law and other complementary norms.   </w:t>
      </w:r>
    </w:p>
    <w:p w:rsidR="00A81D0E" w:rsidRPr="000A58B2" w:rsidRDefault="00A81D0E" w:rsidP="00A81D0E">
      <w:pPr>
        <w:spacing w:before="100" w:beforeAutospacing="1" w:afterAutospacing="1"/>
        <w:rPr>
          <w:lang w:val="en-US"/>
        </w:rPr>
      </w:pPr>
      <w:r w:rsidRPr="000A58B2">
        <w:rPr>
          <w:lang w:val="en-US"/>
        </w:rPr>
        <w:t xml:space="preserve">5. </w:t>
      </w:r>
      <w:r w:rsidR="00515E76" w:rsidRPr="000A58B2">
        <w:rPr>
          <w:lang w:val="en-US"/>
        </w:rPr>
        <w:t xml:space="preserve">Require authorized juridical persons </w:t>
      </w:r>
      <w:r w:rsidR="0065041C" w:rsidRPr="000A58B2">
        <w:rPr>
          <w:lang w:val="en-US"/>
        </w:rPr>
        <w:t>any</w:t>
      </w:r>
      <w:r w:rsidR="00515E76" w:rsidRPr="000A58B2">
        <w:rPr>
          <w:lang w:val="en-US"/>
        </w:rPr>
        <w:t xml:space="preserve"> information </w:t>
      </w:r>
      <w:r w:rsidR="0065041C" w:rsidRPr="000A58B2">
        <w:rPr>
          <w:lang w:val="en-US"/>
        </w:rPr>
        <w:t>needed</w:t>
      </w:r>
      <w:r w:rsidR="00515E76" w:rsidRPr="000A58B2">
        <w:rPr>
          <w:lang w:val="en-US"/>
        </w:rPr>
        <w:t xml:space="preserve"> concerning private offerings either on their own account and for the equity </w:t>
      </w:r>
      <w:r w:rsidR="0065041C" w:rsidRPr="000A58B2">
        <w:rPr>
          <w:lang w:val="en-US"/>
        </w:rPr>
        <w:t>they manage</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6. </w:t>
      </w:r>
      <w:r w:rsidR="00EB35BC" w:rsidRPr="000A58B2">
        <w:rPr>
          <w:lang w:val="en-US"/>
        </w:rPr>
        <w:t xml:space="preserve">Subpoena and interrogate whoever may contribute to a </w:t>
      </w:r>
      <w:r w:rsidR="00AB2835" w:rsidRPr="000A58B2">
        <w:rPr>
          <w:lang w:val="en-US"/>
        </w:rPr>
        <w:t>successful</w:t>
      </w:r>
      <w:r w:rsidR="00EB35BC" w:rsidRPr="000A58B2">
        <w:rPr>
          <w:lang w:val="en-US"/>
        </w:rPr>
        <w:t xml:space="preserve"> investigation undertaken by the SMV or other foreign </w:t>
      </w:r>
      <w:r w:rsidR="00AB2835" w:rsidRPr="000A58B2">
        <w:rPr>
          <w:lang w:val="en-US"/>
        </w:rPr>
        <w:t>securities</w:t>
      </w:r>
      <w:r w:rsidR="00EB35BC" w:rsidRPr="000A58B2">
        <w:rPr>
          <w:lang w:val="en-US"/>
        </w:rPr>
        <w:t xml:space="preserve"> market oversight bod</w:t>
      </w:r>
      <w:r w:rsidR="0065041C" w:rsidRPr="000A58B2">
        <w:rPr>
          <w:lang w:val="en-US"/>
        </w:rPr>
        <w:t>ies</w:t>
      </w:r>
      <w:r w:rsidR="00EB35BC" w:rsidRPr="000A58B2">
        <w:rPr>
          <w:lang w:val="en-US"/>
        </w:rPr>
        <w:t xml:space="preserve"> with which an inter-institutional cooperation agreement </w:t>
      </w:r>
      <w:r w:rsidR="00EB35BC" w:rsidRPr="000A58B2">
        <w:rPr>
          <w:lang w:val="en-US"/>
        </w:rPr>
        <w:lastRenderedPageBreak/>
        <w:t>has been signed. Any individual who, without justification</w:t>
      </w:r>
      <w:r w:rsidR="0065041C" w:rsidRPr="000A58B2">
        <w:rPr>
          <w:lang w:val="en-US"/>
        </w:rPr>
        <w:t>,</w:t>
      </w:r>
      <w:r w:rsidR="00EB35BC" w:rsidRPr="000A58B2">
        <w:rPr>
          <w:lang w:val="en-US"/>
        </w:rPr>
        <w:t xml:space="preserve"> fails to comply with the subpoena or refuses to answer the interrogation will be pressured through an automatic coercive fine </w:t>
      </w:r>
      <w:r w:rsidR="0065041C" w:rsidRPr="000A58B2">
        <w:rPr>
          <w:lang w:val="en-US"/>
        </w:rPr>
        <w:t>for an amount of</w:t>
      </w:r>
      <w:r w:rsidR="00EB35BC" w:rsidRPr="000A58B2">
        <w:rPr>
          <w:lang w:val="en-US"/>
        </w:rPr>
        <w:t xml:space="preserve"> up to five tax units (hereafter </w:t>
      </w:r>
      <w:r w:rsidRPr="000A58B2">
        <w:rPr>
          <w:lang w:val="en-US"/>
        </w:rPr>
        <w:t xml:space="preserve">UIT). </w:t>
      </w:r>
      <w:r w:rsidR="0065041C" w:rsidRPr="000A58B2">
        <w:rPr>
          <w:lang w:val="en-US"/>
        </w:rPr>
        <w:t>The fine should be paid wit</w:t>
      </w:r>
      <w:r w:rsidR="00EB35BC" w:rsidRPr="000A58B2">
        <w:rPr>
          <w:lang w:val="en-US"/>
        </w:rPr>
        <w:t>hin five business days after notification</w:t>
      </w:r>
      <w:r w:rsidR="0065041C" w:rsidRPr="000A58B2">
        <w:rPr>
          <w:lang w:val="en-US"/>
        </w:rPr>
        <w:t xml:space="preserve"> has been served</w:t>
      </w:r>
      <w:r w:rsidR="00EB35BC" w:rsidRPr="000A58B2">
        <w:rPr>
          <w:lang w:val="en-US"/>
        </w:rPr>
        <w:t xml:space="preserve">, after which term, coercive collection will be ordered. If the bound individual persists in his/her breach, </w:t>
      </w:r>
      <w:r w:rsidR="0065041C" w:rsidRPr="000A58B2">
        <w:rPr>
          <w:lang w:val="en-US"/>
        </w:rPr>
        <w:t>a</w:t>
      </w:r>
      <w:r w:rsidR="00EB35BC" w:rsidRPr="000A58B2">
        <w:rPr>
          <w:lang w:val="en-US"/>
        </w:rPr>
        <w:t xml:space="preserve"> coerci</w:t>
      </w:r>
      <w:r w:rsidR="0065041C" w:rsidRPr="000A58B2">
        <w:rPr>
          <w:lang w:val="en-US"/>
        </w:rPr>
        <w:t>ve fine will be imposed double</w:t>
      </w:r>
      <w:r w:rsidR="00EB35BC" w:rsidRPr="000A58B2">
        <w:rPr>
          <w:lang w:val="en-US"/>
        </w:rPr>
        <w:t xml:space="preserve"> the </w:t>
      </w:r>
      <w:r w:rsidR="0065041C" w:rsidRPr="000A58B2">
        <w:rPr>
          <w:lang w:val="en-US"/>
        </w:rPr>
        <w:t xml:space="preserve">amount of the </w:t>
      </w:r>
      <w:r w:rsidR="00EB35BC" w:rsidRPr="000A58B2">
        <w:rPr>
          <w:lang w:val="en-US"/>
        </w:rPr>
        <w:t xml:space="preserve">last coercive fine imposed </w:t>
      </w:r>
      <w:r w:rsidR="0065041C" w:rsidRPr="000A58B2">
        <w:rPr>
          <w:lang w:val="en-US"/>
        </w:rPr>
        <w:t xml:space="preserve">and so on </w:t>
      </w:r>
      <w:r w:rsidR="00AB2835" w:rsidRPr="000A58B2">
        <w:rPr>
          <w:lang w:val="en-US"/>
        </w:rPr>
        <w:t>successively</w:t>
      </w:r>
      <w:r w:rsidR="00EB35BC" w:rsidRPr="000A58B2">
        <w:rPr>
          <w:lang w:val="en-US"/>
        </w:rPr>
        <w:t xml:space="preserve"> and without limit until the individual appears or responds to the interrogation as appropriate, without prejudice </w:t>
      </w:r>
      <w:r w:rsidR="0065041C" w:rsidRPr="000A58B2">
        <w:rPr>
          <w:lang w:val="en-US"/>
        </w:rPr>
        <w:t>to</w:t>
      </w:r>
      <w:r w:rsidR="00EB35BC" w:rsidRPr="000A58B2">
        <w:rPr>
          <w:lang w:val="en-US"/>
        </w:rPr>
        <w:t xml:space="preserve"> the respective </w:t>
      </w:r>
      <w:r w:rsidR="0065041C" w:rsidRPr="000A58B2">
        <w:rPr>
          <w:lang w:val="en-US"/>
        </w:rPr>
        <w:t xml:space="preserve">filing of </w:t>
      </w:r>
      <w:r w:rsidR="00AB2835" w:rsidRPr="000A58B2">
        <w:rPr>
          <w:lang w:val="en-US"/>
        </w:rPr>
        <w:t>charges before</w:t>
      </w:r>
      <w:r w:rsidR="00EB35BC" w:rsidRPr="000A58B2">
        <w:rPr>
          <w:lang w:val="en-US"/>
        </w:rPr>
        <w:t xml:space="preserve"> the Prosecutor’s Office, </w:t>
      </w:r>
      <w:r w:rsidR="0065041C" w:rsidRPr="000A58B2">
        <w:rPr>
          <w:lang w:val="en-US"/>
        </w:rPr>
        <w:t>prior to launching the</w:t>
      </w:r>
      <w:r w:rsidR="00EB35BC" w:rsidRPr="000A58B2">
        <w:rPr>
          <w:lang w:val="en-US"/>
        </w:rPr>
        <w:t xml:space="preserve"> corresponding criminal procedure. The coercive fine, as its nature is not that of a sanction, do</w:t>
      </w:r>
      <w:r w:rsidR="0065041C" w:rsidRPr="000A58B2">
        <w:rPr>
          <w:lang w:val="en-US"/>
        </w:rPr>
        <w:t>es</w:t>
      </w:r>
      <w:r w:rsidR="00EB35BC" w:rsidRPr="000A58B2">
        <w:rPr>
          <w:lang w:val="en-US"/>
        </w:rPr>
        <w:t xml:space="preserve"> not prevent the </w:t>
      </w:r>
      <w:r w:rsidR="00AB2835">
        <w:rPr>
          <w:lang w:val="en-US"/>
        </w:rPr>
        <w:t xml:space="preserve">Superintendence of </w:t>
      </w:r>
      <w:r w:rsidR="00EB35BC" w:rsidRPr="000A58B2">
        <w:rPr>
          <w:lang w:val="en-US"/>
        </w:rPr>
        <w:t>Securities Market to impose</w:t>
      </w:r>
      <w:r w:rsidR="00460F3D" w:rsidRPr="000A58B2">
        <w:rPr>
          <w:lang w:val="en-US"/>
        </w:rPr>
        <w:t xml:space="preserve"> an additional sanction at the end of the proceeding, if appropriate</w:t>
      </w:r>
      <w:r w:rsidRPr="000A58B2">
        <w:rPr>
          <w:lang w:val="en-US"/>
        </w:rPr>
        <w:t>.</w:t>
      </w:r>
    </w:p>
    <w:p w:rsidR="00A81D0E" w:rsidRPr="000A58B2" w:rsidRDefault="00460F3D" w:rsidP="00A81D0E">
      <w:pPr>
        <w:spacing w:before="100" w:beforeAutospacing="1" w:afterAutospacing="1"/>
        <w:rPr>
          <w:lang w:val="en-US"/>
        </w:rPr>
      </w:pPr>
      <w:r w:rsidRPr="000A58B2">
        <w:rPr>
          <w:lang w:val="en-US"/>
        </w:rPr>
        <w:t>SMV may resort to any technical and legal means to create a complete and trustworthy record of all depositions, for which purpose it is authorized to record all de</w:t>
      </w:r>
      <w:r w:rsidR="0065041C" w:rsidRPr="000A58B2">
        <w:rPr>
          <w:lang w:val="en-US"/>
        </w:rPr>
        <w:t>positions</w:t>
      </w:r>
      <w:r w:rsidRPr="000A58B2">
        <w:rPr>
          <w:lang w:val="en-US"/>
        </w:rPr>
        <w:t xml:space="preserve"> or statements. </w:t>
      </w:r>
    </w:p>
    <w:p w:rsidR="00A81D0E" w:rsidRPr="000A58B2" w:rsidRDefault="00A81D0E" w:rsidP="00A81D0E">
      <w:pPr>
        <w:spacing w:before="100" w:beforeAutospacing="1" w:afterAutospacing="1"/>
        <w:rPr>
          <w:lang w:val="en-US"/>
        </w:rPr>
      </w:pPr>
      <w:r w:rsidRPr="000A58B2">
        <w:rPr>
          <w:lang w:val="en-US"/>
        </w:rPr>
        <w:t xml:space="preserve">7. </w:t>
      </w:r>
      <w:r w:rsidR="00460F3D" w:rsidRPr="000A58B2">
        <w:rPr>
          <w:lang w:val="en-US"/>
        </w:rPr>
        <w:t>Open investigations and inspections with or without prior notification</w:t>
      </w:r>
      <w:r w:rsidRPr="000A58B2">
        <w:rPr>
          <w:lang w:val="en-US"/>
        </w:rPr>
        <w:t>.</w:t>
      </w:r>
    </w:p>
    <w:p w:rsidR="00A81D0E" w:rsidRPr="000A58B2" w:rsidRDefault="00460F3D" w:rsidP="00A81D0E">
      <w:pPr>
        <w:spacing w:before="100" w:beforeAutospacing="1" w:afterAutospacing="1"/>
        <w:rPr>
          <w:lang w:val="en-US"/>
        </w:rPr>
      </w:pPr>
      <w:r w:rsidRPr="000A58B2">
        <w:rPr>
          <w:lang w:val="en-US"/>
        </w:rPr>
        <w:t>To perform its inspection duties, as mentioned in the preceding paragraph, SMV may examine, using whatever means it deems necessary</w:t>
      </w:r>
      <w:r w:rsidR="0065041C" w:rsidRPr="000A58B2">
        <w:rPr>
          <w:lang w:val="en-US"/>
        </w:rPr>
        <w:t>,</w:t>
      </w:r>
      <w:r w:rsidRPr="000A58B2">
        <w:rPr>
          <w:lang w:val="en-US"/>
        </w:rPr>
        <w:t xml:space="preserve"> all books, accounts, archives, documents, </w:t>
      </w:r>
      <w:r w:rsidR="00AB2835" w:rsidRPr="000A58B2">
        <w:rPr>
          <w:lang w:val="en-US"/>
        </w:rPr>
        <w:t>correspondence</w:t>
      </w:r>
      <w:r w:rsidRPr="000A58B2">
        <w:rPr>
          <w:lang w:val="en-US"/>
        </w:rPr>
        <w:t xml:space="preserve"> and generally, any other information that may be required for it to discharge its functions. For this purpose, the investigated company and its representative(s) are obliged to provide </w:t>
      </w:r>
      <w:r w:rsidR="0065041C" w:rsidRPr="000A58B2">
        <w:rPr>
          <w:lang w:val="en-US"/>
        </w:rPr>
        <w:t xml:space="preserve">the </w:t>
      </w:r>
      <w:r w:rsidRPr="000A58B2">
        <w:rPr>
          <w:lang w:val="en-US"/>
        </w:rPr>
        <w:t xml:space="preserve">inspection staff all the facilities required for </w:t>
      </w:r>
      <w:r w:rsidR="00AB2835" w:rsidRPr="000A58B2">
        <w:rPr>
          <w:lang w:val="en-US"/>
        </w:rPr>
        <w:t>fulfilling</w:t>
      </w:r>
      <w:r w:rsidRPr="000A58B2">
        <w:rPr>
          <w:lang w:val="en-US"/>
        </w:rPr>
        <w:t xml:space="preserve"> their objective</w:t>
      </w:r>
      <w:r w:rsidR="00A81D0E" w:rsidRPr="000A58B2">
        <w:rPr>
          <w:lang w:val="en-US"/>
        </w:rPr>
        <w:t>.</w:t>
      </w:r>
    </w:p>
    <w:p w:rsidR="00A81D0E" w:rsidRPr="000A58B2" w:rsidRDefault="00460F3D" w:rsidP="00A81D0E">
      <w:pPr>
        <w:spacing w:before="100" w:beforeAutospacing="1" w:afterAutospacing="1"/>
        <w:rPr>
          <w:lang w:val="en-US"/>
        </w:rPr>
      </w:pPr>
      <w:r w:rsidRPr="000A58B2">
        <w:rPr>
          <w:lang w:val="en-US"/>
        </w:rPr>
        <w:t xml:space="preserve">Refusal, resistance or breach by the </w:t>
      </w:r>
      <w:r w:rsidR="0065041C" w:rsidRPr="000A58B2">
        <w:rPr>
          <w:lang w:val="en-US"/>
        </w:rPr>
        <w:t>obligated</w:t>
      </w:r>
      <w:r w:rsidRPr="000A58B2">
        <w:rPr>
          <w:lang w:val="en-US"/>
        </w:rPr>
        <w:t xml:space="preserve"> individuals, if properly demonstrated, leads to imposing any of the sanctions described in Legislative Decree</w:t>
      </w:r>
      <w:r w:rsidR="00A81D0E" w:rsidRPr="000A58B2">
        <w:rPr>
          <w:lang w:val="en-US"/>
        </w:rPr>
        <w:t xml:space="preserve"> 861, </w:t>
      </w:r>
      <w:r w:rsidR="0065041C" w:rsidRPr="000A58B2">
        <w:rPr>
          <w:lang w:val="en-US"/>
        </w:rPr>
        <w:t xml:space="preserve">the </w:t>
      </w:r>
      <w:r w:rsidRPr="000A58B2">
        <w:rPr>
          <w:lang w:val="en-US"/>
        </w:rPr>
        <w:t>Securities Market Law</w:t>
      </w:r>
      <w:r w:rsidR="00A81D0E" w:rsidRPr="000A58B2">
        <w:rPr>
          <w:lang w:val="en-US"/>
        </w:rPr>
        <w:t>.</w:t>
      </w:r>
    </w:p>
    <w:p w:rsidR="00460F3D" w:rsidRPr="000A58B2" w:rsidRDefault="00460F3D" w:rsidP="00A81D0E">
      <w:pPr>
        <w:spacing w:before="100" w:beforeAutospacing="1" w:afterAutospacing="1"/>
        <w:rPr>
          <w:lang w:val="en-US"/>
        </w:rPr>
      </w:pPr>
      <w:r w:rsidRPr="000A58B2">
        <w:rPr>
          <w:lang w:val="en-US"/>
        </w:rPr>
        <w:t xml:space="preserve">In addition, SMV may require all the background documents it deems necessary to learn about the inspected entity’s financial condition, resources, administration or management, actions by its representatives, degree of security and prudence in making investments and, generally, any other matter that in its opinion, should be verified. </w:t>
      </w:r>
    </w:p>
    <w:p w:rsidR="00A81D0E" w:rsidRPr="000A58B2" w:rsidRDefault="00460F3D" w:rsidP="00460F3D">
      <w:pPr>
        <w:spacing w:before="100" w:beforeAutospacing="1" w:afterAutospacing="1"/>
        <w:rPr>
          <w:lang w:val="en-US"/>
        </w:rPr>
      </w:pPr>
      <w:r w:rsidRPr="000A58B2">
        <w:rPr>
          <w:lang w:val="en-US"/>
        </w:rPr>
        <w:t>It may also accept the testimony of third parties and request the opening of books and documents</w:t>
      </w:r>
      <w:r w:rsidR="000A58B2" w:rsidRPr="000A58B2">
        <w:rPr>
          <w:lang w:val="en-US"/>
        </w:rPr>
        <w:t>,</w:t>
      </w:r>
      <w:r w:rsidRPr="000A58B2">
        <w:rPr>
          <w:lang w:val="en-US"/>
        </w:rPr>
        <w:t xml:space="preserve"> which will be done within the limits established by Article 47 under the Commerce Code.  </w:t>
      </w:r>
    </w:p>
    <w:p w:rsidR="00A81D0E" w:rsidRPr="000A58B2" w:rsidRDefault="00460F3D" w:rsidP="00A81D0E">
      <w:pPr>
        <w:spacing w:before="100" w:beforeAutospacing="1" w:afterAutospacing="1"/>
        <w:rPr>
          <w:lang w:val="en-US"/>
        </w:rPr>
      </w:pPr>
      <w:r w:rsidRPr="000A58B2">
        <w:rPr>
          <w:rFonts w:cs="Arial"/>
          <w:lang w:val="en-US"/>
        </w:rPr>
        <w:t xml:space="preserve">The actions undertaken by SMV’s officials designated for </w:t>
      </w:r>
      <w:r w:rsidR="000A58B2" w:rsidRPr="000A58B2">
        <w:rPr>
          <w:rFonts w:cs="Arial"/>
          <w:lang w:val="en-US"/>
        </w:rPr>
        <w:t xml:space="preserve">meeting the stated </w:t>
      </w:r>
      <w:r w:rsidRPr="000A58B2">
        <w:rPr>
          <w:rFonts w:cs="Arial"/>
          <w:lang w:val="en-US"/>
        </w:rPr>
        <w:t>purposes of this and the following paragraph are presumed to be reliable</w:t>
      </w:r>
      <w:r w:rsidR="000A58B2" w:rsidRPr="000A58B2">
        <w:rPr>
          <w:rFonts w:cs="Arial"/>
          <w:lang w:val="en-US"/>
        </w:rPr>
        <w:t xml:space="preserve"> and trustworthy</w:t>
      </w:r>
      <w:r w:rsidRPr="000A58B2">
        <w:rPr>
          <w:rFonts w:cs="Arial"/>
          <w:lang w:val="en-US"/>
        </w:rPr>
        <w:t>. SMV throu</w:t>
      </w:r>
      <w:r w:rsidR="000A58B2" w:rsidRPr="000A58B2">
        <w:rPr>
          <w:rFonts w:cs="Arial"/>
          <w:lang w:val="en-US"/>
        </w:rPr>
        <w:t>gh certain general dispositions</w:t>
      </w:r>
      <w:r w:rsidRPr="000A58B2">
        <w:rPr>
          <w:rFonts w:cs="Arial"/>
          <w:lang w:val="en-US"/>
        </w:rPr>
        <w:t xml:space="preserve"> will regulate </w:t>
      </w:r>
      <w:r w:rsidR="00127ECF" w:rsidRPr="000A58B2">
        <w:rPr>
          <w:rFonts w:cs="Arial"/>
          <w:lang w:val="en-US"/>
        </w:rPr>
        <w:t xml:space="preserve">their authorization to perform. </w:t>
      </w:r>
      <w:r w:rsidR="00A81D0E" w:rsidRPr="000A58B2">
        <w:rPr>
          <w:bCs/>
          <w:lang w:val="en-US"/>
        </w:rPr>
        <w:t>(**)</w:t>
      </w:r>
    </w:p>
    <w:p w:rsidR="00A81D0E" w:rsidRPr="000A58B2" w:rsidRDefault="00127ECF" w:rsidP="00A81D0E">
      <w:pPr>
        <w:spacing w:before="100" w:beforeAutospacing="1" w:afterAutospacing="1"/>
        <w:rPr>
          <w:lang w:val="en-US"/>
        </w:rPr>
      </w:pPr>
      <w:r w:rsidRPr="000A58B2">
        <w:rPr>
          <w:rFonts w:cs="Arial"/>
          <w:lang w:val="en-US"/>
        </w:rPr>
        <w:t>8. Interv</w:t>
      </w:r>
      <w:r w:rsidR="000A58B2" w:rsidRPr="000A58B2">
        <w:rPr>
          <w:rFonts w:cs="Arial"/>
          <w:lang w:val="en-US"/>
        </w:rPr>
        <w:t>ene from an administrative view</w:t>
      </w:r>
      <w:r w:rsidRPr="000A58B2">
        <w:rPr>
          <w:rFonts w:cs="Arial"/>
          <w:lang w:val="en-US"/>
        </w:rPr>
        <w:t xml:space="preserve">point, the facilities or offices where activities may be presumably taking place, which are the exclusive </w:t>
      </w:r>
      <w:r w:rsidR="00AB2835" w:rsidRPr="000A58B2">
        <w:rPr>
          <w:rFonts w:cs="Arial"/>
          <w:lang w:val="en-US"/>
        </w:rPr>
        <w:t>prerogative</w:t>
      </w:r>
      <w:r w:rsidRPr="000A58B2">
        <w:rPr>
          <w:rFonts w:cs="Arial"/>
          <w:lang w:val="en-US"/>
        </w:rPr>
        <w:t xml:space="preserve"> of individuals authorized by SMV </w:t>
      </w:r>
      <w:r w:rsidR="000A58B2" w:rsidRPr="000A58B2">
        <w:rPr>
          <w:rFonts w:cs="Arial"/>
          <w:lang w:val="en-US"/>
        </w:rPr>
        <w:t xml:space="preserve">but which are carried out </w:t>
      </w:r>
      <w:r w:rsidRPr="000A58B2">
        <w:rPr>
          <w:rFonts w:cs="Arial"/>
          <w:lang w:val="en-US"/>
        </w:rPr>
        <w:t>without the required authorization</w:t>
      </w:r>
      <w:r w:rsidR="000A58B2" w:rsidRPr="000A58B2">
        <w:rPr>
          <w:rFonts w:cs="Arial"/>
          <w:lang w:val="en-US"/>
        </w:rPr>
        <w:t>,</w:t>
      </w:r>
      <w:r w:rsidRPr="000A58B2">
        <w:rPr>
          <w:rFonts w:cs="Arial"/>
          <w:lang w:val="en-US"/>
        </w:rPr>
        <w:t xml:space="preserve"> and proceed to close such facilities or offices. For that purpose, </w:t>
      </w:r>
      <w:r w:rsidR="000A58B2" w:rsidRPr="000A58B2">
        <w:rPr>
          <w:rFonts w:cs="Arial"/>
          <w:lang w:val="en-US"/>
        </w:rPr>
        <w:t xml:space="preserve">SMV will be provided </w:t>
      </w:r>
      <w:r w:rsidRPr="000A58B2">
        <w:rPr>
          <w:rFonts w:cs="Arial"/>
          <w:lang w:val="en-US"/>
        </w:rPr>
        <w:t xml:space="preserve">the authorizations mentioned in paragraphs 6 and 7 </w:t>
      </w:r>
      <w:r w:rsidR="000A58B2" w:rsidRPr="000A58B2">
        <w:rPr>
          <w:rFonts w:cs="Arial"/>
          <w:lang w:val="en-US"/>
        </w:rPr>
        <w:t>above</w:t>
      </w:r>
      <w:r w:rsidRPr="000A58B2">
        <w:rPr>
          <w:rFonts w:cs="Arial"/>
          <w:lang w:val="en-US"/>
        </w:rPr>
        <w:t xml:space="preserve">.  </w:t>
      </w:r>
    </w:p>
    <w:p w:rsidR="00A81D0E" w:rsidRPr="000A58B2" w:rsidRDefault="00127ECF" w:rsidP="00A81D0E">
      <w:pPr>
        <w:spacing w:before="100" w:beforeAutospacing="1" w:afterAutospacing="1"/>
        <w:rPr>
          <w:lang w:val="en-US"/>
        </w:rPr>
      </w:pPr>
      <w:r w:rsidRPr="000A58B2">
        <w:rPr>
          <w:rFonts w:cs="Arial"/>
          <w:lang w:val="en-US"/>
        </w:rPr>
        <w:t>For executing such proceedings, SMV is authorized to require the intervention of the Public Prosecutor. In addition, a warrant may be provided for seizing all documents and the information they may contain. For this</w:t>
      </w:r>
      <w:r w:rsidR="000A58B2" w:rsidRPr="000A58B2">
        <w:rPr>
          <w:rFonts w:cs="Arial"/>
          <w:lang w:val="en-US"/>
        </w:rPr>
        <w:t xml:space="preserve"> purpose</w:t>
      </w:r>
      <w:r w:rsidRPr="000A58B2">
        <w:rPr>
          <w:rFonts w:cs="Arial"/>
          <w:lang w:val="en-US"/>
        </w:rPr>
        <w:t xml:space="preserve">, </w:t>
      </w:r>
      <w:r w:rsidR="000A58B2" w:rsidRPr="000A58B2">
        <w:rPr>
          <w:rFonts w:cs="Arial"/>
          <w:lang w:val="en-US"/>
        </w:rPr>
        <w:t>SMV</w:t>
      </w:r>
      <w:r w:rsidRPr="000A58B2">
        <w:rPr>
          <w:rFonts w:cs="Arial"/>
          <w:lang w:val="en-US"/>
        </w:rPr>
        <w:t xml:space="preserve"> is </w:t>
      </w:r>
      <w:r w:rsidR="000A58B2" w:rsidRPr="000A58B2">
        <w:rPr>
          <w:rFonts w:cs="Arial"/>
          <w:lang w:val="en-US"/>
        </w:rPr>
        <w:t xml:space="preserve">further </w:t>
      </w:r>
      <w:r w:rsidRPr="000A58B2">
        <w:rPr>
          <w:rFonts w:cs="Arial"/>
          <w:lang w:val="en-US"/>
        </w:rPr>
        <w:t>authorized to directly request the support of public police forces. Should force</w:t>
      </w:r>
      <w:r w:rsidR="000A58B2" w:rsidRPr="000A58B2">
        <w:rPr>
          <w:rFonts w:cs="Arial"/>
          <w:lang w:val="en-US"/>
        </w:rPr>
        <w:t>d</w:t>
      </w:r>
      <w:r w:rsidRPr="000A58B2">
        <w:rPr>
          <w:rFonts w:cs="Arial"/>
          <w:lang w:val="en-US"/>
        </w:rPr>
        <w:t xml:space="preserve"> unlocking be required, a court warrant will be </w:t>
      </w:r>
      <w:r w:rsidR="000A58B2" w:rsidRPr="000A58B2">
        <w:rPr>
          <w:rFonts w:cs="Arial"/>
          <w:lang w:val="en-US"/>
        </w:rPr>
        <w:t>requested, s</w:t>
      </w:r>
      <w:r w:rsidRPr="000A58B2">
        <w:rPr>
          <w:rFonts w:cs="Arial"/>
          <w:lang w:val="en-US"/>
        </w:rPr>
        <w:t xml:space="preserve">ame which shall be </w:t>
      </w:r>
      <w:r w:rsidR="000A58B2" w:rsidRPr="000A58B2">
        <w:rPr>
          <w:rFonts w:cs="Arial"/>
          <w:lang w:val="en-US"/>
        </w:rPr>
        <w:t>granted</w:t>
      </w:r>
      <w:r w:rsidRPr="000A58B2">
        <w:rPr>
          <w:rFonts w:cs="Arial"/>
          <w:lang w:val="en-US"/>
        </w:rPr>
        <w:t xml:space="preserve"> in a maximum term of one business day. </w:t>
      </w:r>
    </w:p>
    <w:p w:rsidR="00A81D0E" w:rsidRPr="000A58B2" w:rsidRDefault="00127ECF" w:rsidP="00A81D0E">
      <w:pPr>
        <w:spacing w:before="100" w:beforeAutospacing="1" w:afterAutospacing="1"/>
        <w:rPr>
          <w:lang w:val="en-US"/>
        </w:rPr>
      </w:pPr>
      <w:r w:rsidRPr="000A58B2">
        <w:rPr>
          <w:rFonts w:cs="Arial"/>
          <w:lang w:val="en-US"/>
        </w:rPr>
        <w:t xml:space="preserve">Failure to comply with the requests described in the previous paragraph will be </w:t>
      </w:r>
      <w:r w:rsidR="000A58B2" w:rsidRPr="000A58B2">
        <w:rPr>
          <w:rFonts w:cs="Arial"/>
          <w:lang w:val="en-US"/>
        </w:rPr>
        <w:t xml:space="preserve">result in filing for commission of the </w:t>
      </w:r>
      <w:r w:rsidRPr="000A58B2">
        <w:rPr>
          <w:rFonts w:cs="Arial"/>
          <w:lang w:val="en-US"/>
        </w:rPr>
        <w:t xml:space="preserve">crimes described in the first paragraph </w:t>
      </w:r>
      <w:r w:rsidR="000A58B2" w:rsidRPr="000A58B2">
        <w:rPr>
          <w:rFonts w:cs="Arial"/>
          <w:lang w:val="en-US"/>
        </w:rPr>
        <w:t xml:space="preserve">of article </w:t>
      </w:r>
      <w:r w:rsidRPr="000A58B2">
        <w:rPr>
          <w:rFonts w:cs="Arial"/>
          <w:lang w:val="en-US"/>
        </w:rPr>
        <w:t>378 of the Criminal Code</w:t>
      </w:r>
      <w:r w:rsidR="00A81D0E" w:rsidRPr="000A58B2">
        <w:rPr>
          <w:rFonts w:cs="Arial"/>
          <w:lang w:val="en-US"/>
        </w:rPr>
        <w:t xml:space="preserve">. </w:t>
      </w:r>
    </w:p>
    <w:p w:rsidR="00A81D0E" w:rsidRPr="000A58B2" w:rsidRDefault="00127ECF" w:rsidP="00A81D0E">
      <w:pPr>
        <w:spacing w:before="100" w:beforeAutospacing="1" w:afterAutospacing="1"/>
        <w:rPr>
          <w:lang w:val="en-US"/>
        </w:rPr>
      </w:pPr>
      <w:r w:rsidRPr="000A58B2">
        <w:rPr>
          <w:rFonts w:cs="Arial"/>
          <w:lang w:val="en-US"/>
        </w:rPr>
        <w:t xml:space="preserve">To comply with the obligations described in paragraph a) under article 2 hereto, the </w:t>
      </w:r>
      <w:r w:rsidR="000A58B2" w:rsidRPr="000A58B2">
        <w:rPr>
          <w:rFonts w:cs="Arial"/>
          <w:lang w:val="en-US"/>
        </w:rPr>
        <w:t xml:space="preserve">Public Prosecutor </w:t>
      </w:r>
      <w:r w:rsidRPr="000A58B2">
        <w:rPr>
          <w:rFonts w:cs="Arial"/>
          <w:lang w:val="en-US"/>
        </w:rPr>
        <w:t>will file the corresponding criminal complaint</w:t>
      </w:r>
      <w:r w:rsidR="000A58B2" w:rsidRPr="000A58B2">
        <w:rPr>
          <w:rFonts w:cs="Arial"/>
          <w:lang w:val="en-US"/>
        </w:rPr>
        <w:t>s</w:t>
      </w:r>
      <w:r w:rsidRPr="000A58B2">
        <w:rPr>
          <w:rFonts w:cs="Arial"/>
          <w:lang w:val="en-US"/>
        </w:rPr>
        <w:t xml:space="preserve"> to </w:t>
      </w:r>
      <w:r w:rsidR="000A58B2" w:rsidRPr="000A58B2">
        <w:rPr>
          <w:rFonts w:cs="Arial"/>
          <w:lang w:val="en-US"/>
        </w:rPr>
        <w:t>launch</w:t>
      </w:r>
      <w:r w:rsidRPr="000A58B2">
        <w:rPr>
          <w:rFonts w:cs="Arial"/>
          <w:lang w:val="en-US"/>
        </w:rPr>
        <w:t xml:space="preserve"> a criminal action against </w:t>
      </w:r>
      <w:r w:rsidR="000A58B2" w:rsidRPr="000A58B2">
        <w:rPr>
          <w:rFonts w:cs="Arial"/>
          <w:lang w:val="en-US"/>
        </w:rPr>
        <w:t xml:space="preserve">the </w:t>
      </w:r>
      <w:r w:rsidR="001A5A57" w:rsidRPr="000A58B2">
        <w:rPr>
          <w:rFonts w:cs="Arial"/>
          <w:lang w:val="en-US"/>
        </w:rPr>
        <w:t>offenders</w:t>
      </w:r>
      <w:r w:rsidR="000A58B2" w:rsidRPr="000A58B2">
        <w:rPr>
          <w:rFonts w:cs="Arial"/>
          <w:lang w:val="en-US"/>
        </w:rPr>
        <w:t>. In these</w:t>
      </w:r>
      <w:r w:rsidRPr="000A58B2">
        <w:rPr>
          <w:rFonts w:cs="Arial"/>
          <w:lang w:val="en-US"/>
        </w:rPr>
        <w:t xml:space="preserve"> </w:t>
      </w:r>
      <w:r w:rsidRPr="000A58B2">
        <w:rPr>
          <w:rFonts w:cs="Arial"/>
          <w:lang w:val="en-US"/>
        </w:rPr>
        <w:lastRenderedPageBreak/>
        <w:t xml:space="preserve">proceedings, SMV will act as </w:t>
      </w:r>
      <w:r w:rsidR="001A5A57" w:rsidRPr="000A58B2">
        <w:rPr>
          <w:rFonts w:cs="Arial"/>
          <w:lang w:val="en-US"/>
        </w:rPr>
        <w:t>aggrieved</w:t>
      </w:r>
      <w:r w:rsidRPr="000A58B2">
        <w:rPr>
          <w:rFonts w:cs="Arial"/>
          <w:lang w:val="en-US"/>
        </w:rPr>
        <w:t xml:space="preserve"> party and may, consequently, </w:t>
      </w:r>
      <w:r w:rsidR="000A58B2" w:rsidRPr="000A58B2">
        <w:rPr>
          <w:rFonts w:cs="Arial"/>
          <w:lang w:val="en-US"/>
        </w:rPr>
        <w:t>bring criminal action</w:t>
      </w:r>
      <w:r w:rsidR="00377273" w:rsidRPr="000A58B2">
        <w:rPr>
          <w:rFonts w:cs="Arial"/>
          <w:lang w:val="en-US"/>
        </w:rPr>
        <w:t xml:space="preserve"> against the of</w:t>
      </w:r>
      <w:r w:rsidR="000A58B2" w:rsidRPr="000A58B2">
        <w:rPr>
          <w:rFonts w:cs="Arial"/>
          <w:lang w:val="en-US"/>
        </w:rPr>
        <w:t>f</w:t>
      </w:r>
      <w:r w:rsidR="00377273" w:rsidRPr="000A58B2">
        <w:rPr>
          <w:rFonts w:cs="Arial"/>
          <w:lang w:val="en-US"/>
        </w:rPr>
        <w:t>enders.</w:t>
      </w:r>
    </w:p>
    <w:p w:rsidR="00A81D0E" w:rsidRPr="000A58B2" w:rsidRDefault="00377273" w:rsidP="00A81D0E">
      <w:pPr>
        <w:spacing w:before="100" w:beforeAutospacing="1" w:afterAutospacing="1"/>
        <w:rPr>
          <w:lang w:val="en-US"/>
        </w:rPr>
      </w:pPr>
      <w:r w:rsidRPr="000A58B2">
        <w:rPr>
          <w:rFonts w:cs="Arial"/>
          <w:lang w:val="en-US"/>
        </w:rPr>
        <w:t xml:space="preserve">The </w:t>
      </w:r>
      <w:r w:rsidR="001A5A57">
        <w:rPr>
          <w:rFonts w:cs="Arial"/>
          <w:lang w:val="en-US"/>
        </w:rPr>
        <w:t xml:space="preserve">Superintendence of </w:t>
      </w:r>
      <w:r w:rsidRPr="000A58B2">
        <w:rPr>
          <w:rFonts w:cs="Arial"/>
          <w:lang w:val="en-US"/>
        </w:rPr>
        <w:t xml:space="preserve">Securities Market shall not be held liable in any manner for the regular exercise of the intervention and closing powers </w:t>
      </w:r>
      <w:r w:rsidR="000A58B2">
        <w:rPr>
          <w:rFonts w:cs="Arial"/>
          <w:lang w:val="en-US"/>
        </w:rPr>
        <w:t>of</w:t>
      </w:r>
      <w:r w:rsidRPr="000A58B2">
        <w:rPr>
          <w:rFonts w:cs="Arial"/>
          <w:lang w:val="en-US"/>
        </w:rPr>
        <w:t xml:space="preserve"> facilities or offices </w:t>
      </w:r>
      <w:r w:rsidR="000A58B2">
        <w:rPr>
          <w:rFonts w:cs="Arial"/>
          <w:lang w:val="en-US"/>
        </w:rPr>
        <w:t xml:space="preserve">as </w:t>
      </w:r>
      <w:r w:rsidRPr="000A58B2">
        <w:rPr>
          <w:rFonts w:cs="Arial"/>
          <w:lang w:val="en-US"/>
        </w:rPr>
        <w:t>described in this section</w:t>
      </w:r>
      <w:r w:rsidR="00A81D0E" w:rsidRPr="000A58B2">
        <w:rPr>
          <w:rFonts w:cs="Arial"/>
          <w:lang w:val="en-US"/>
        </w:rPr>
        <w:t>.(***)</w:t>
      </w:r>
    </w:p>
    <w:p w:rsidR="00A81D0E" w:rsidRPr="000A58B2" w:rsidRDefault="00A81D0E" w:rsidP="00A81D0E">
      <w:pPr>
        <w:spacing w:before="100" w:beforeAutospacing="1" w:afterAutospacing="1"/>
        <w:rPr>
          <w:lang w:val="en-US"/>
        </w:rPr>
      </w:pPr>
      <w:r w:rsidRPr="000A58B2">
        <w:rPr>
          <w:lang w:val="en-US"/>
        </w:rPr>
        <w:t xml:space="preserve">9. </w:t>
      </w:r>
      <w:r w:rsidR="00377273" w:rsidRPr="000A58B2">
        <w:rPr>
          <w:lang w:val="en-US"/>
        </w:rPr>
        <w:t xml:space="preserve">Sanction regulatory </w:t>
      </w:r>
      <w:r w:rsidR="001A5A57" w:rsidRPr="000A58B2">
        <w:rPr>
          <w:lang w:val="en-US"/>
        </w:rPr>
        <w:t>offenders</w:t>
      </w:r>
      <w:r w:rsidRPr="000A58B2">
        <w:rPr>
          <w:lang w:val="en-US"/>
        </w:rPr>
        <w:t>.</w:t>
      </w:r>
    </w:p>
    <w:p w:rsidR="00A81D0E" w:rsidRPr="000A58B2" w:rsidRDefault="00377273" w:rsidP="00A81D0E">
      <w:pPr>
        <w:spacing w:before="100" w:beforeAutospacing="1" w:afterAutospacing="1"/>
        <w:rPr>
          <w:lang w:val="en-US"/>
        </w:rPr>
      </w:pPr>
      <w:r w:rsidRPr="000A58B2">
        <w:rPr>
          <w:lang w:val="en-US"/>
        </w:rPr>
        <w:t xml:space="preserve">SMV may enact precautionary or corrective measures, either at its own initiative or </w:t>
      </w:r>
      <w:r w:rsidR="000A58B2">
        <w:rPr>
          <w:lang w:val="en-US"/>
        </w:rPr>
        <w:t xml:space="preserve">at </w:t>
      </w:r>
      <w:r w:rsidRPr="000A58B2">
        <w:rPr>
          <w:lang w:val="en-US"/>
        </w:rPr>
        <w:t xml:space="preserve">the request of a party, </w:t>
      </w:r>
      <w:r w:rsidR="000A58B2">
        <w:rPr>
          <w:lang w:val="en-US"/>
        </w:rPr>
        <w:t>or</w:t>
      </w:r>
      <w:r w:rsidRPr="000A58B2">
        <w:rPr>
          <w:lang w:val="en-US"/>
        </w:rPr>
        <w:t xml:space="preserve"> refrain from opening a sanctioning proce</w:t>
      </w:r>
      <w:r w:rsidR="000A58B2">
        <w:rPr>
          <w:lang w:val="en-US"/>
        </w:rPr>
        <w:t>dure for minor breaches</w:t>
      </w:r>
      <w:r w:rsidRPr="000A58B2">
        <w:rPr>
          <w:lang w:val="en-US"/>
        </w:rPr>
        <w:t xml:space="preserve"> if, when </w:t>
      </w:r>
      <w:r w:rsidR="000A58B2">
        <w:rPr>
          <w:lang w:val="en-US"/>
        </w:rPr>
        <w:t>a</w:t>
      </w:r>
      <w:r w:rsidRPr="000A58B2">
        <w:rPr>
          <w:lang w:val="en-US"/>
        </w:rPr>
        <w:t xml:space="preserve"> violation </w:t>
      </w:r>
      <w:r w:rsidR="000A58B2">
        <w:rPr>
          <w:lang w:val="en-US"/>
        </w:rPr>
        <w:t>has been</w:t>
      </w:r>
      <w:r w:rsidRPr="000A58B2">
        <w:rPr>
          <w:lang w:val="en-US"/>
        </w:rPr>
        <w:t xml:space="preserve"> identified, the </w:t>
      </w:r>
      <w:r w:rsidR="000A58B2">
        <w:rPr>
          <w:lang w:val="en-US"/>
        </w:rPr>
        <w:t>offense</w:t>
      </w:r>
      <w:r w:rsidRPr="000A58B2">
        <w:rPr>
          <w:lang w:val="en-US"/>
        </w:rPr>
        <w:t xml:space="preserve"> has been reverted or cured, provided the conditions for precedence established in the corresponding regulations are complied with, and the decision is reported to the concerned individual, or if any corrective measures required by SMV h</w:t>
      </w:r>
      <w:r w:rsidR="000A58B2">
        <w:rPr>
          <w:lang w:val="en-US"/>
        </w:rPr>
        <w:t>ave been complied with, as per a</w:t>
      </w:r>
      <w:r w:rsidRPr="000A58B2">
        <w:rPr>
          <w:lang w:val="en-US"/>
        </w:rPr>
        <w:t>rticle 358 under Legislative Decree</w:t>
      </w:r>
      <w:r w:rsidR="00A81D0E" w:rsidRPr="000A58B2">
        <w:rPr>
          <w:lang w:val="en-US"/>
        </w:rPr>
        <w:t xml:space="preserve"> 861, </w:t>
      </w:r>
      <w:r w:rsidR="000A58B2">
        <w:rPr>
          <w:lang w:val="en-US"/>
        </w:rPr>
        <w:t xml:space="preserve">the </w:t>
      </w:r>
      <w:r w:rsidRPr="000A58B2">
        <w:rPr>
          <w:lang w:val="en-US"/>
        </w:rPr>
        <w:t>Securities Market Law</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SMV</w:t>
      </w:r>
      <w:r w:rsidR="00377273" w:rsidRPr="000A58B2">
        <w:rPr>
          <w:lang w:val="en-US"/>
        </w:rPr>
        <w:t xml:space="preserve"> may impose sole instance actions through its administrative </w:t>
      </w:r>
      <w:r w:rsidR="003D03F3" w:rsidRPr="000A58B2">
        <w:rPr>
          <w:lang w:val="en-US"/>
        </w:rPr>
        <w:t>courtroom</w:t>
      </w:r>
      <w:r w:rsidR="00377273" w:rsidRPr="000A58B2">
        <w:rPr>
          <w:lang w:val="en-US"/>
        </w:rPr>
        <w:t xml:space="preserve"> or any other body so</w:t>
      </w:r>
      <w:r w:rsidR="003D03F3">
        <w:rPr>
          <w:lang w:val="en-US"/>
        </w:rPr>
        <w:t xml:space="preserve"> designated in its organizational</w:t>
      </w:r>
      <w:r w:rsidR="00377273" w:rsidRPr="000A58B2">
        <w:rPr>
          <w:lang w:val="en-US"/>
        </w:rPr>
        <w:t xml:space="preserve"> and functions </w:t>
      </w:r>
      <w:r w:rsidR="000A58B2">
        <w:rPr>
          <w:lang w:val="en-US"/>
        </w:rPr>
        <w:t>manual</w:t>
      </w:r>
      <w:r w:rsidRPr="000A58B2">
        <w:rPr>
          <w:lang w:val="en-US"/>
        </w:rPr>
        <w:t>.</w:t>
      </w:r>
    </w:p>
    <w:p w:rsidR="00A81D0E" w:rsidRPr="000A58B2" w:rsidRDefault="00377273" w:rsidP="00A81D0E">
      <w:pPr>
        <w:spacing w:before="100" w:beforeAutospacing="1" w:afterAutospacing="1"/>
        <w:rPr>
          <w:lang w:val="en-US"/>
        </w:rPr>
      </w:pPr>
      <w:r w:rsidRPr="000A58B2">
        <w:rPr>
          <w:lang w:val="en-US"/>
        </w:rPr>
        <w:t xml:space="preserve">Preliminary investigations undertaken before the opening of sanctioning proceedings are bound </w:t>
      </w:r>
      <w:r w:rsidR="000A58B2">
        <w:rPr>
          <w:lang w:val="en-US"/>
        </w:rPr>
        <w:t xml:space="preserve">by </w:t>
      </w:r>
      <w:r w:rsidRPr="000A58B2">
        <w:rPr>
          <w:lang w:val="en-US"/>
        </w:rPr>
        <w:t>the duty of confidentiality.</w:t>
      </w:r>
    </w:p>
    <w:p w:rsidR="00A81D0E" w:rsidRPr="000A58B2" w:rsidRDefault="00A81D0E" w:rsidP="00A81D0E">
      <w:pPr>
        <w:spacing w:before="100" w:beforeAutospacing="1" w:afterAutospacing="1"/>
        <w:rPr>
          <w:lang w:val="en-US"/>
        </w:rPr>
      </w:pPr>
      <w:r w:rsidRPr="000A58B2">
        <w:rPr>
          <w:lang w:val="en-US"/>
        </w:rPr>
        <w:t xml:space="preserve">10. </w:t>
      </w:r>
      <w:r w:rsidR="00377273" w:rsidRPr="000A58B2">
        <w:rPr>
          <w:lang w:val="en-US"/>
        </w:rPr>
        <w:t xml:space="preserve">Request juridical persons authorized to operate to </w:t>
      </w:r>
      <w:r w:rsidR="000A58B2">
        <w:rPr>
          <w:lang w:val="en-US"/>
        </w:rPr>
        <w:t>subscribe</w:t>
      </w:r>
      <w:r w:rsidR="001A5A57">
        <w:rPr>
          <w:lang w:val="en-US"/>
        </w:rPr>
        <w:t xml:space="preserve"> </w:t>
      </w:r>
      <w:r w:rsidR="000A58B2">
        <w:rPr>
          <w:lang w:val="en-US"/>
        </w:rPr>
        <w:t>a</w:t>
      </w:r>
      <w:r w:rsidR="00377273" w:rsidRPr="000A58B2">
        <w:rPr>
          <w:lang w:val="en-US"/>
        </w:rPr>
        <w:t xml:space="preserve"> minimum amount of operating capital </w:t>
      </w:r>
      <w:r w:rsidR="000A58B2">
        <w:rPr>
          <w:lang w:val="en-US"/>
        </w:rPr>
        <w:t xml:space="preserve">in proportion to </w:t>
      </w:r>
      <w:r w:rsidR="00377273" w:rsidRPr="000A58B2">
        <w:rPr>
          <w:lang w:val="en-US"/>
        </w:rPr>
        <w:t xml:space="preserve">the </w:t>
      </w:r>
      <w:r w:rsidR="000A58B2">
        <w:rPr>
          <w:lang w:val="en-US"/>
        </w:rPr>
        <w:t>accepted</w:t>
      </w:r>
      <w:r w:rsidR="00377273" w:rsidRPr="000A58B2">
        <w:rPr>
          <w:lang w:val="en-US"/>
        </w:rPr>
        <w:t xml:space="preserve"> risks, in compliance with </w:t>
      </w:r>
      <w:r w:rsidR="000A58B2">
        <w:rPr>
          <w:lang w:val="en-US"/>
        </w:rPr>
        <w:t xml:space="preserve">the </w:t>
      </w:r>
      <w:r w:rsidR="00377273" w:rsidRPr="000A58B2">
        <w:rPr>
          <w:lang w:val="en-US"/>
        </w:rPr>
        <w:t xml:space="preserve">general provisions enacted for that purpose. SMV regulates the </w:t>
      </w:r>
      <w:r w:rsidR="000A58B2">
        <w:rPr>
          <w:lang w:val="en-US"/>
        </w:rPr>
        <w:t xml:space="preserve">components of </w:t>
      </w:r>
      <w:r w:rsidR="00377273" w:rsidRPr="000A58B2">
        <w:rPr>
          <w:lang w:val="en-US"/>
        </w:rPr>
        <w:t>those entities’ operating capital, as well as othe</w:t>
      </w:r>
      <w:r w:rsidR="000A58B2">
        <w:rPr>
          <w:lang w:val="en-US"/>
        </w:rPr>
        <w:t>r requisites that shall be met as regards</w:t>
      </w:r>
      <w:r w:rsidR="00377273" w:rsidRPr="000A58B2">
        <w:rPr>
          <w:lang w:val="en-US"/>
        </w:rPr>
        <w:t xml:space="preserve"> those </w:t>
      </w:r>
      <w:r w:rsidR="000A58B2">
        <w:rPr>
          <w:lang w:val="en-US"/>
        </w:rPr>
        <w:t xml:space="preserve">elements of </w:t>
      </w:r>
      <w:r w:rsidR="00377273" w:rsidRPr="000A58B2">
        <w:rPr>
          <w:lang w:val="en-US"/>
        </w:rPr>
        <w:t>capital</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11. </w:t>
      </w:r>
      <w:r w:rsidR="00377273" w:rsidRPr="000A58B2">
        <w:rPr>
          <w:lang w:val="en-US"/>
        </w:rPr>
        <w:t>Require juridical persons authorize</w:t>
      </w:r>
      <w:r w:rsidR="000A58B2">
        <w:rPr>
          <w:lang w:val="en-US"/>
        </w:rPr>
        <w:t>d</w:t>
      </w:r>
      <w:r w:rsidR="00377273" w:rsidRPr="000A58B2">
        <w:rPr>
          <w:lang w:val="en-US"/>
        </w:rPr>
        <w:t xml:space="preserve"> to operate </w:t>
      </w:r>
      <w:r w:rsidR="00E60DDF">
        <w:rPr>
          <w:lang w:val="en-US"/>
        </w:rPr>
        <w:t xml:space="preserve">to subscribe </w:t>
      </w:r>
      <w:r w:rsidR="000A58B2">
        <w:rPr>
          <w:lang w:val="en-US"/>
        </w:rPr>
        <w:t xml:space="preserve">certain </w:t>
      </w:r>
      <w:r w:rsidR="00377273" w:rsidRPr="000A58B2">
        <w:rPr>
          <w:lang w:val="en-US"/>
        </w:rPr>
        <w:t xml:space="preserve">amounts </w:t>
      </w:r>
      <w:r w:rsidR="00E60DDF">
        <w:rPr>
          <w:lang w:val="en-US"/>
        </w:rPr>
        <w:t xml:space="preserve">over and </w:t>
      </w:r>
      <w:r w:rsidR="00377273" w:rsidRPr="000A58B2">
        <w:rPr>
          <w:lang w:val="en-US"/>
        </w:rPr>
        <w:t>above the guarantees required by Legislative Decree</w:t>
      </w:r>
      <w:r w:rsidRPr="000A58B2">
        <w:rPr>
          <w:lang w:val="en-US"/>
        </w:rPr>
        <w:t xml:space="preserve"> 861, </w:t>
      </w:r>
      <w:r w:rsidR="00377273" w:rsidRPr="000A58B2">
        <w:rPr>
          <w:lang w:val="en-US"/>
        </w:rPr>
        <w:t>Securities Market Law</w:t>
      </w:r>
      <w:r w:rsidRPr="000A58B2">
        <w:rPr>
          <w:lang w:val="en-US"/>
        </w:rPr>
        <w:t xml:space="preserve">; </w:t>
      </w:r>
      <w:r w:rsidR="00377273" w:rsidRPr="000A58B2">
        <w:rPr>
          <w:lang w:val="en-US"/>
        </w:rPr>
        <w:t>Legislative Decree</w:t>
      </w:r>
      <w:r w:rsidRPr="000A58B2">
        <w:rPr>
          <w:lang w:val="en-US"/>
        </w:rPr>
        <w:t xml:space="preserve"> 862, </w:t>
      </w:r>
      <w:r w:rsidR="00377273" w:rsidRPr="000A58B2">
        <w:rPr>
          <w:lang w:val="en-US"/>
        </w:rPr>
        <w:t>Investment Fund and Administration Companies Law</w:t>
      </w:r>
      <w:r w:rsidR="00E60DDF">
        <w:rPr>
          <w:lang w:val="en-US"/>
        </w:rPr>
        <w:t xml:space="preserve">; the </w:t>
      </w:r>
      <w:r w:rsidR="00377273" w:rsidRPr="000A58B2">
        <w:rPr>
          <w:lang w:val="en-US"/>
        </w:rPr>
        <w:t xml:space="preserve"> Product Exchange Law </w:t>
      </w:r>
      <w:r w:rsidR="00E60DDF">
        <w:rPr>
          <w:lang w:val="en-US"/>
        </w:rPr>
        <w:t>Number</w:t>
      </w:r>
      <w:r w:rsidR="00E60DDF" w:rsidRPr="000A58B2">
        <w:rPr>
          <w:lang w:val="en-US"/>
        </w:rPr>
        <w:t xml:space="preserve"> 26361, </w:t>
      </w:r>
      <w:r w:rsidR="00377273" w:rsidRPr="000A58B2">
        <w:rPr>
          <w:lang w:val="en-US"/>
        </w:rPr>
        <w:t>and Law</w:t>
      </w:r>
      <w:r w:rsidRPr="000A58B2">
        <w:rPr>
          <w:lang w:val="en-US"/>
        </w:rPr>
        <w:t xml:space="preserve"> </w:t>
      </w:r>
      <w:r w:rsidR="001A5A57" w:rsidRPr="000A58B2">
        <w:rPr>
          <w:lang w:val="en-US"/>
        </w:rPr>
        <w:t xml:space="preserve">Decree </w:t>
      </w:r>
      <w:r w:rsidRPr="000A58B2">
        <w:rPr>
          <w:lang w:val="en-US"/>
        </w:rPr>
        <w:t xml:space="preserve">21907, </w:t>
      </w:r>
      <w:r w:rsidR="00E60DDF">
        <w:rPr>
          <w:lang w:val="en-US"/>
        </w:rPr>
        <w:t xml:space="preserve">according to which </w:t>
      </w:r>
      <w:r w:rsidR="00E60DDF" w:rsidRPr="000A58B2">
        <w:rPr>
          <w:lang w:val="en-US"/>
        </w:rPr>
        <w:t xml:space="preserve">SMV </w:t>
      </w:r>
      <w:r w:rsidR="00E60DDF">
        <w:rPr>
          <w:lang w:val="en-US"/>
        </w:rPr>
        <w:t xml:space="preserve">will supervise the </w:t>
      </w:r>
      <w:r w:rsidR="00377273" w:rsidRPr="000A58B2">
        <w:rPr>
          <w:lang w:val="en-US"/>
        </w:rPr>
        <w:t>Collective Fund Administration Compan</w:t>
      </w:r>
      <w:r w:rsidR="00E60DDF">
        <w:rPr>
          <w:lang w:val="en-US"/>
        </w:rPr>
        <w:t>ies’</w:t>
      </w:r>
      <w:r w:rsidR="00377273" w:rsidRPr="000A58B2">
        <w:rPr>
          <w:lang w:val="en-US"/>
        </w:rPr>
        <w:t xml:space="preserve"> operations and accepted risks,  </w:t>
      </w:r>
      <w:r w:rsidR="00AF12A4" w:rsidRPr="000A58B2">
        <w:rPr>
          <w:lang w:val="en-US"/>
        </w:rPr>
        <w:t>when circumstances arise that threaten their continuity, effectiveness or operations</w:t>
      </w:r>
      <w:r w:rsidRPr="000A58B2">
        <w:rPr>
          <w:lang w:val="en-US"/>
        </w:rPr>
        <w:t>.</w:t>
      </w:r>
      <w:r w:rsidR="00AF12A4" w:rsidRPr="000A58B2">
        <w:rPr>
          <w:lang w:val="en-US"/>
        </w:rPr>
        <w:t xml:space="preserve"> In such cases, SMV is authorized to intervene </w:t>
      </w:r>
      <w:r w:rsidR="00E60DDF">
        <w:rPr>
          <w:lang w:val="en-US"/>
        </w:rPr>
        <w:t>if</w:t>
      </w:r>
      <w:r w:rsidR="00AF12A4" w:rsidRPr="000A58B2">
        <w:rPr>
          <w:lang w:val="en-US"/>
        </w:rPr>
        <w:t xml:space="preserve"> the </w:t>
      </w:r>
      <w:r w:rsidR="00E60DDF">
        <w:rPr>
          <w:lang w:val="en-US"/>
        </w:rPr>
        <w:t>reasons</w:t>
      </w:r>
      <w:r w:rsidR="001A5A57">
        <w:rPr>
          <w:lang w:val="en-US"/>
        </w:rPr>
        <w:t xml:space="preserve"> </w:t>
      </w:r>
      <w:r w:rsidR="00E60DDF" w:rsidRPr="000A58B2">
        <w:rPr>
          <w:lang w:val="en-US"/>
        </w:rPr>
        <w:t xml:space="preserve">or conditions </w:t>
      </w:r>
      <w:r w:rsidR="00AF12A4" w:rsidRPr="000A58B2">
        <w:rPr>
          <w:lang w:val="en-US"/>
        </w:rPr>
        <w:t xml:space="preserve">for such intervention are not cured </w:t>
      </w:r>
      <w:r w:rsidR="00E60DDF">
        <w:rPr>
          <w:lang w:val="en-US"/>
        </w:rPr>
        <w:t>or</w:t>
      </w:r>
      <w:r w:rsidR="001A5A57">
        <w:rPr>
          <w:lang w:val="en-US"/>
        </w:rPr>
        <w:t xml:space="preserve"> </w:t>
      </w:r>
      <w:r w:rsidR="00E60DDF">
        <w:rPr>
          <w:lang w:val="en-US"/>
        </w:rPr>
        <w:t>modified</w:t>
      </w:r>
      <w:r w:rsidR="00AF12A4" w:rsidRPr="000A58B2">
        <w:rPr>
          <w:lang w:val="en-US"/>
        </w:rPr>
        <w:t xml:space="preserve"> within the term provided for such purpose. Such guarantees may not be </w:t>
      </w:r>
      <w:r w:rsidR="001A5A57" w:rsidRPr="000A58B2">
        <w:rPr>
          <w:lang w:val="en-US"/>
        </w:rPr>
        <w:t>repossessed</w:t>
      </w:r>
      <w:r w:rsidR="00AF12A4" w:rsidRPr="000A58B2">
        <w:rPr>
          <w:lang w:val="en-US"/>
        </w:rPr>
        <w:t xml:space="preserve">.  </w:t>
      </w:r>
    </w:p>
    <w:p w:rsidR="00A81D0E" w:rsidRPr="000A58B2" w:rsidRDefault="00AF12A4" w:rsidP="00A81D0E">
      <w:pPr>
        <w:spacing w:before="100" w:beforeAutospacing="1" w:afterAutospacing="1"/>
        <w:rPr>
          <w:lang w:val="en-US"/>
        </w:rPr>
      </w:pPr>
      <w:r w:rsidRPr="000A58B2">
        <w:rPr>
          <w:lang w:val="en-US"/>
        </w:rPr>
        <w:t xml:space="preserve">Through general provisions, SMV may regulate the cases </w:t>
      </w:r>
      <w:r w:rsidR="00E60DDF">
        <w:rPr>
          <w:lang w:val="en-US"/>
        </w:rPr>
        <w:t>that warrant requesting</w:t>
      </w:r>
      <w:r w:rsidRPr="000A58B2">
        <w:rPr>
          <w:lang w:val="en-US"/>
        </w:rPr>
        <w:t xml:space="preserve"> larger guarantees </w:t>
      </w:r>
      <w:r w:rsidR="00E60DDF">
        <w:rPr>
          <w:lang w:val="en-US"/>
        </w:rPr>
        <w:t>or modifying their components</w:t>
      </w:r>
      <w:r w:rsidRPr="000A58B2">
        <w:rPr>
          <w:lang w:val="en-US"/>
        </w:rPr>
        <w:t>.</w:t>
      </w:r>
    </w:p>
    <w:p w:rsidR="00A81D0E" w:rsidRPr="000A58B2" w:rsidRDefault="00A81D0E" w:rsidP="00A81D0E">
      <w:pPr>
        <w:spacing w:before="100" w:beforeAutospacing="1" w:afterAutospacing="1"/>
        <w:rPr>
          <w:lang w:val="en-US"/>
        </w:rPr>
      </w:pPr>
      <w:r w:rsidRPr="00E60DDF">
        <w:rPr>
          <w:lang w:val="en-US"/>
        </w:rPr>
        <w:t xml:space="preserve">12. </w:t>
      </w:r>
      <w:r w:rsidR="002A4606" w:rsidRPr="00E60DDF">
        <w:rPr>
          <w:lang w:val="en-US"/>
        </w:rPr>
        <w:t xml:space="preserve">Authorize the transfer of stock issued by juridical persons authorized to operate, as well as the purchase of stock for capital increases involving the acceptance of a new shareholder and any other act involving </w:t>
      </w:r>
      <w:r w:rsidR="00B43FE4" w:rsidRPr="00E60DDF">
        <w:rPr>
          <w:lang w:val="en-US"/>
        </w:rPr>
        <w:t>encumbrance</w:t>
      </w:r>
      <w:r w:rsidR="002A4606" w:rsidRPr="00E60DDF">
        <w:rPr>
          <w:lang w:val="en-US"/>
        </w:rPr>
        <w:t xml:space="preserve">, trust, </w:t>
      </w:r>
      <w:r w:rsidR="00E60DDF" w:rsidRPr="00E60DDF">
        <w:rPr>
          <w:lang w:val="en-US"/>
        </w:rPr>
        <w:t xml:space="preserve">or </w:t>
      </w:r>
      <w:r w:rsidR="002A4606" w:rsidRPr="00E60DDF">
        <w:rPr>
          <w:lang w:val="en-US"/>
        </w:rPr>
        <w:t xml:space="preserve">management agreements or other juridical acts concerning such securities and which give a third party, </w:t>
      </w:r>
      <w:r w:rsidR="00E60DDF" w:rsidRPr="00E60DDF">
        <w:rPr>
          <w:lang w:val="en-US"/>
        </w:rPr>
        <w:t>either</w:t>
      </w:r>
      <w:r w:rsidR="002A4606" w:rsidRPr="00E60DDF">
        <w:rPr>
          <w:lang w:val="en-US"/>
        </w:rPr>
        <w:t xml:space="preserve"> directly or indirectly, the ability to manage or exercise voting rights in the authorized organization, pursuant to the general provisions enacted by</w:t>
      </w:r>
      <w:r w:rsidR="001A5A57">
        <w:rPr>
          <w:lang w:val="en-US"/>
        </w:rPr>
        <w:t xml:space="preserve"> </w:t>
      </w:r>
      <w:r w:rsidR="003D03F3">
        <w:rPr>
          <w:lang w:val="en-US"/>
        </w:rPr>
        <w:t>SMV</w:t>
      </w:r>
      <w:r w:rsidR="001A5A57">
        <w:rPr>
          <w:lang w:val="en-US"/>
        </w:rPr>
        <w:t>, b</w:t>
      </w:r>
      <w:r w:rsidR="002A4606" w:rsidRPr="00E60DDF">
        <w:rPr>
          <w:lang w:val="en-US"/>
        </w:rPr>
        <w:t>y means of general provisions</w:t>
      </w:r>
      <w:r w:rsidR="00E60DDF" w:rsidRPr="00E60DDF">
        <w:rPr>
          <w:lang w:val="en-US"/>
        </w:rPr>
        <w:t>,</w:t>
      </w:r>
      <w:r w:rsidR="001A5A57">
        <w:rPr>
          <w:lang w:val="en-US"/>
        </w:rPr>
        <w:t xml:space="preserve"> </w:t>
      </w:r>
      <w:r w:rsidR="002A4606" w:rsidRPr="00E60DDF">
        <w:rPr>
          <w:lang w:val="en-US"/>
        </w:rPr>
        <w:t xml:space="preserve">will regulate this article </w:t>
      </w:r>
      <w:r w:rsidR="00E60DDF" w:rsidRPr="00E60DDF">
        <w:rPr>
          <w:lang w:val="en-US"/>
        </w:rPr>
        <w:t xml:space="preserve">and may establish minimum stockholding percentages to request </w:t>
      </w:r>
      <w:r w:rsidR="002A4606" w:rsidRPr="00E60DDF">
        <w:rPr>
          <w:lang w:val="en-US"/>
        </w:rPr>
        <w:t xml:space="preserve">the above-mentioned authorization as well as the conditions </w:t>
      </w:r>
      <w:r w:rsidR="00E60DDF" w:rsidRPr="00E60DDF">
        <w:rPr>
          <w:lang w:val="en-US"/>
        </w:rPr>
        <w:t>under which</w:t>
      </w:r>
      <w:r w:rsidR="002A4606" w:rsidRPr="00E60DDF">
        <w:rPr>
          <w:lang w:val="en-US"/>
        </w:rPr>
        <w:t xml:space="preserve"> such authorization may not be warranted. </w:t>
      </w:r>
    </w:p>
    <w:p w:rsidR="00A81D0E" w:rsidRPr="000A58B2" w:rsidRDefault="00A81D0E" w:rsidP="00A81D0E">
      <w:pPr>
        <w:spacing w:before="100" w:beforeAutospacing="1" w:afterAutospacing="1"/>
        <w:rPr>
          <w:rFonts w:cs="Arial"/>
          <w:lang w:val="en-US"/>
        </w:rPr>
      </w:pPr>
      <w:r w:rsidRPr="000A58B2">
        <w:rPr>
          <w:rFonts w:cs="Arial"/>
          <w:lang w:val="en-US"/>
        </w:rPr>
        <w:t xml:space="preserve">13. </w:t>
      </w:r>
      <w:r w:rsidR="00B43FE4" w:rsidRPr="000A58B2">
        <w:rPr>
          <w:rFonts w:cs="Arial"/>
          <w:lang w:val="en-US"/>
        </w:rPr>
        <w:t>Impose</w:t>
      </w:r>
      <w:r w:rsidR="002A4606" w:rsidRPr="000A58B2">
        <w:rPr>
          <w:rFonts w:cs="Arial"/>
          <w:lang w:val="en-US"/>
        </w:rPr>
        <w:t xml:space="preserve">, by means of a warrant, </w:t>
      </w:r>
      <w:r w:rsidR="00B43FE4" w:rsidRPr="000A58B2">
        <w:rPr>
          <w:rFonts w:cs="Arial"/>
          <w:lang w:val="en-US"/>
        </w:rPr>
        <w:t>coercive</w:t>
      </w:r>
      <w:r w:rsidR="002A4606" w:rsidRPr="000A58B2">
        <w:rPr>
          <w:rFonts w:cs="Arial"/>
          <w:lang w:val="en-US"/>
        </w:rPr>
        <w:t xml:space="preserve"> fines to execute certain acts, up to an amount of twenty five (25) tax units (</w:t>
      </w:r>
      <w:r w:rsidRPr="000A58B2">
        <w:rPr>
          <w:rFonts w:cs="Arial"/>
          <w:lang w:val="en-US"/>
        </w:rPr>
        <w:t xml:space="preserve">UIT). </w:t>
      </w:r>
      <w:r w:rsidR="002A4606" w:rsidRPr="000A58B2">
        <w:rPr>
          <w:rFonts w:cs="Arial"/>
          <w:lang w:val="en-US"/>
        </w:rPr>
        <w:t xml:space="preserve">Such fines shall be paid be paid within five (5) business days after the </w:t>
      </w:r>
      <w:r w:rsidR="003D03F3">
        <w:rPr>
          <w:rFonts w:cs="Arial"/>
          <w:lang w:val="en-US"/>
        </w:rPr>
        <w:t xml:space="preserve">corresponding </w:t>
      </w:r>
      <w:r w:rsidR="002A4606" w:rsidRPr="000A58B2">
        <w:rPr>
          <w:rFonts w:cs="Arial"/>
          <w:lang w:val="en-US"/>
        </w:rPr>
        <w:t>noti</w:t>
      </w:r>
      <w:r w:rsidR="00E60DDF">
        <w:rPr>
          <w:rFonts w:cs="Arial"/>
          <w:lang w:val="en-US"/>
        </w:rPr>
        <w:t>ce has been served, after which</w:t>
      </w:r>
      <w:r w:rsidR="002A4606" w:rsidRPr="000A58B2">
        <w:rPr>
          <w:rFonts w:cs="Arial"/>
          <w:lang w:val="en-US"/>
        </w:rPr>
        <w:t xml:space="preserve"> coactive collection will be ordered. At the time of </w:t>
      </w:r>
      <w:r w:rsidR="00E60DDF">
        <w:rPr>
          <w:rFonts w:cs="Arial"/>
          <w:lang w:val="en-US"/>
        </w:rPr>
        <w:t>imposing the fine</w:t>
      </w:r>
      <w:r w:rsidR="002A4606" w:rsidRPr="000A58B2">
        <w:rPr>
          <w:rFonts w:cs="Arial"/>
          <w:lang w:val="en-US"/>
        </w:rPr>
        <w:t xml:space="preserve">, the term will be established for the subject to comply with the </w:t>
      </w:r>
      <w:r w:rsidR="00E60DDF" w:rsidRPr="000A58B2">
        <w:rPr>
          <w:rFonts w:cs="Arial"/>
          <w:lang w:val="en-US"/>
        </w:rPr>
        <w:t xml:space="preserve">required </w:t>
      </w:r>
      <w:r w:rsidR="002A4606" w:rsidRPr="000A58B2">
        <w:rPr>
          <w:rFonts w:cs="Arial"/>
          <w:lang w:val="en-US"/>
        </w:rPr>
        <w:t xml:space="preserve">act. If after such period elapses the subject </w:t>
      </w:r>
      <w:r w:rsidR="00E60DDF">
        <w:rPr>
          <w:rFonts w:cs="Arial"/>
          <w:lang w:val="en-US"/>
        </w:rPr>
        <w:t>has failed</w:t>
      </w:r>
      <w:r w:rsidR="002A4606" w:rsidRPr="000A58B2">
        <w:rPr>
          <w:rFonts w:cs="Arial"/>
          <w:lang w:val="en-US"/>
        </w:rPr>
        <w:t xml:space="preserve"> to comply, a new coercive fine will be imposed for </w:t>
      </w:r>
      <w:r w:rsidR="003D03F3">
        <w:rPr>
          <w:rFonts w:cs="Arial"/>
          <w:lang w:val="en-US"/>
        </w:rPr>
        <w:t>twice</w:t>
      </w:r>
      <w:r w:rsidR="002A4606" w:rsidRPr="000A58B2">
        <w:rPr>
          <w:rFonts w:cs="Arial"/>
          <w:lang w:val="en-US"/>
        </w:rPr>
        <w:t xml:space="preserve"> the amount of the last fine, and so on </w:t>
      </w:r>
      <w:r w:rsidR="00B43FE4" w:rsidRPr="000A58B2">
        <w:rPr>
          <w:rFonts w:cs="Arial"/>
          <w:lang w:val="en-US"/>
        </w:rPr>
        <w:t>successively</w:t>
      </w:r>
      <w:r w:rsidR="001A5A57">
        <w:rPr>
          <w:rFonts w:cs="Arial"/>
          <w:lang w:val="en-US"/>
        </w:rPr>
        <w:t xml:space="preserve"> </w:t>
      </w:r>
      <w:r w:rsidR="00E60DDF" w:rsidRPr="000A58B2">
        <w:rPr>
          <w:rFonts w:cs="Arial"/>
          <w:lang w:val="en-US"/>
        </w:rPr>
        <w:t>until the required act is performed</w:t>
      </w:r>
      <w:r w:rsidR="002A4606" w:rsidRPr="000A58B2">
        <w:rPr>
          <w:rFonts w:cs="Arial"/>
          <w:lang w:val="en-US"/>
        </w:rPr>
        <w:t>, but under no circumstance shall the total fine exceed seven hundred</w:t>
      </w:r>
      <w:r w:rsidRPr="000A58B2">
        <w:rPr>
          <w:rFonts w:cs="Arial"/>
          <w:lang w:val="en-US"/>
        </w:rPr>
        <w:t xml:space="preserve"> (700) UIT</w:t>
      </w:r>
      <w:r w:rsidR="00E60DDF">
        <w:rPr>
          <w:rFonts w:cs="Arial"/>
          <w:lang w:val="en-US"/>
        </w:rPr>
        <w:t>s.</w:t>
      </w:r>
      <w:r w:rsidRPr="000A58B2">
        <w:rPr>
          <w:bCs/>
          <w:lang w:val="en-US"/>
        </w:rPr>
        <w:t>(***)</w:t>
      </w:r>
    </w:p>
    <w:p w:rsidR="00A81D0E" w:rsidRPr="000A58B2" w:rsidRDefault="00A81D0E" w:rsidP="00A81D0E">
      <w:pPr>
        <w:spacing w:before="100" w:beforeAutospacing="1" w:afterAutospacing="1"/>
        <w:rPr>
          <w:rFonts w:cs="Arial"/>
          <w:lang w:val="en-US"/>
        </w:rPr>
      </w:pPr>
      <w:r w:rsidRPr="000A58B2">
        <w:rPr>
          <w:rFonts w:cs="Arial"/>
          <w:lang w:val="en-US"/>
        </w:rPr>
        <w:lastRenderedPageBreak/>
        <w:t xml:space="preserve">14. </w:t>
      </w:r>
      <w:r w:rsidR="00E60DDF">
        <w:rPr>
          <w:rFonts w:cs="Arial"/>
          <w:lang w:val="en-US"/>
        </w:rPr>
        <w:t>A</w:t>
      </w:r>
      <w:r w:rsidR="002A4606" w:rsidRPr="000A58B2">
        <w:rPr>
          <w:rFonts w:cs="Arial"/>
          <w:lang w:val="en-US"/>
        </w:rPr>
        <w:t xml:space="preserve">utomatically suspend the operation authorization given to juridical persons </w:t>
      </w:r>
      <w:r w:rsidR="003D03F3">
        <w:rPr>
          <w:rFonts w:cs="Arial"/>
          <w:lang w:val="en-US"/>
        </w:rPr>
        <w:t>within its jurisdiction</w:t>
      </w:r>
      <w:r w:rsidR="002A4606" w:rsidRPr="000A58B2">
        <w:rPr>
          <w:rFonts w:cs="Arial"/>
          <w:lang w:val="en-US"/>
        </w:rPr>
        <w:t xml:space="preserve"> and control without requiring a sanctioning administrative procedure in the following cases: </w:t>
      </w:r>
      <w:proofErr w:type="spellStart"/>
      <w:r w:rsidRPr="000A58B2">
        <w:rPr>
          <w:rFonts w:cs="Arial"/>
          <w:lang w:val="en-US"/>
        </w:rPr>
        <w:t>i</w:t>
      </w:r>
      <w:proofErr w:type="spellEnd"/>
      <w:r w:rsidRPr="000A58B2">
        <w:rPr>
          <w:rFonts w:cs="Arial"/>
          <w:lang w:val="en-US"/>
        </w:rPr>
        <w:t xml:space="preserve">) </w:t>
      </w:r>
      <w:r w:rsidR="002A4606" w:rsidRPr="000A58B2">
        <w:rPr>
          <w:rFonts w:cs="Arial"/>
          <w:lang w:val="en-US"/>
        </w:rPr>
        <w:t xml:space="preserve">when some of the requisites to operate and function are no longer </w:t>
      </w:r>
      <w:r w:rsidR="00E60DDF">
        <w:rPr>
          <w:rFonts w:cs="Arial"/>
          <w:lang w:val="en-US"/>
        </w:rPr>
        <w:t>complied with</w:t>
      </w:r>
      <w:r w:rsidR="002A4606" w:rsidRPr="000A58B2">
        <w:rPr>
          <w:rFonts w:cs="Arial"/>
          <w:lang w:val="en-US"/>
        </w:rPr>
        <w:t>;</w:t>
      </w:r>
      <w:r w:rsidRPr="000A58B2">
        <w:rPr>
          <w:rFonts w:cs="Arial"/>
          <w:lang w:val="en-US"/>
        </w:rPr>
        <w:t xml:space="preserve"> ii) </w:t>
      </w:r>
      <w:r w:rsidR="002A4606" w:rsidRPr="000A58B2">
        <w:rPr>
          <w:rFonts w:cs="Arial"/>
          <w:lang w:val="en-US"/>
        </w:rPr>
        <w:t>when any of the shareholders is impeded</w:t>
      </w:r>
      <w:r w:rsidR="00E60DDF">
        <w:rPr>
          <w:rFonts w:cs="Arial"/>
          <w:lang w:val="en-US"/>
        </w:rPr>
        <w:t xml:space="preserve"> or fails to meet</w:t>
      </w:r>
      <w:r w:rsidR="002A4606" w:rsidRPr="000A58B2">
        <w:rPr>
          <w:rFonts w:cs="Arial"/>
          <w:lang w:val="en-US"/>
        </w:rPr>
        <w:t xml:space="preserve"> the requisites set forth in the regulations; </w:t>
      </w:r>
      <w:r w:rsidR="003D03F3">
        <w:rPr>
          <w:rFonts w:cs="Arial"/>
          <w:lang w:val="en-US"/>
        </w:rPr>
        <w:t xml:space="preserve">iii) </w:t>
      </w:r>
      <w:r w:rsidR="002A4606" w:rsidRPr="000A58B2">
        <w:rPr>
          <w:rFonts w:cs="Arial"/>
          <w:lang w:val="en-US"/>
        </w:rPr>
        <w:t xml:space="preserve">when the precautionary or corrective measures </w:t>
      </w:r>
      <w:r w:rsidR="008224C8" w:rsidRPr="000A58B2">
        <w:rPr>
          <w:rFonts w:cs="Arial"/>
          <w:lang w:val="en-US"/>
        </w:rPr>
        <w:t xml:space="preserve">ordered by </w:t>
      </w:r>
      <w:r w:rsidR="003D03F3">
        <w:rPr>
          <w:rFonts w:cs="Arial"/>
          <w:lang w:val="en-US"/>
        </w:rPr>
        <w:t>SMV</w:t>
      </w:r>
      <w:r w:rsidR="001A5A57">
        <w:rPr>
          <w:rFonts w:cs="Arial"/>
          <w:lang w:val="en-US"/>
        </w:rPr>
        <w:t xml:space="preserve"> </w:t>
      </w:r>
      <w:r w:rsidR="00E60DDF">
        <w:rPr>
          <w:rFonts w:cs="Arial"/>
          <w:lang w:val="en-US"/>
        </w:rPr>
        <w:t>are</w:t>
      </w:r>
      <w:r w:rsidR="008224C8" w:rsidRPr="000A58B2">
        <w:rPr>
          <w:rFonts w:cs="Arial"/>
          <w:lang w:val="en-US"/>
        </w:rPr>
        <w:t xml:space="preserve"> breached</w:t>
      </w:r>
      <w:r w:rsidRPr="000A58B2">
        <w:rPr>
          <w:rFonts w:cs="Arial"/>
          <w:lang w:val="en-US"/>
        </w:rPr>
        <w:t xml:space="preserve">; </w:t>
      </w:r>
      <w:r w:rsidR="008224C8" w:rsidRPr="000A58B2">
        <w:rPr>
          <w:rFonts w:cs="Arial"/>
          <w:lang w:val="en-US"/>
        </w:rPr>
        <w:t>and</w:t>
      </w:r>
      <w:r w:rsidRPr="000A58B2">
        <w:rPr>
          <w:rFonts w:cs="Arial"/>
          <w:lang w:val="en-US"/>
        </w:rPr>
        <w:t xml:space="preserve"> iv) </w:t>
      </w:r>
      <w:r w:rsidR="00E60DDF">
        <w:rPr>
          <w:rFonts w:cs="Arial"/>
          <w:lang w:val="en-US"/>
        </w:rPr>
        <w:t>if the</w:t>
      </w:r>
      <w:r w:rsidR="008224C8" w:rsidRPr="000A58B2">
        <w:rPr>
          <w:rFonts w:cs="Arial"/>
          <w:lang w:val="en-US"/>
        </w:rPr>
        <w:t xml:space="preserve"> requisites described in articles 10 and 11</w:t>
      </w:r>
      <w:r w:rsidR="00E60DDF">
        <w:rPr>
          <w:rFonts w:cs="Arial"/>
          <w:lang w:val="en-US"/>
        </w:rPr>
        <w:t xml:space="preserve"> are not met</w:t>
      </w:r>
      <w:r w:rsidR="008224C8" w:rsidRPr="000A58B2">
        <w:rPr>
          <w:rFonts w:cs="Arial"/>
          <w:lang w:val="en-US"/>
        </w:rPr>
        <w:t xml:space="preserve">. This order may </w:t>
      </w:r>
      <w:r w:rsidR="00B43FE4" w:rsidRPr="000A58B2">
        <w:rPr>
          <w:rFonts w:cs="Arial"/>
          <w:lang w:val="en-US"/>
        </w:rPr>
        <w:t>not</w:t>
      </w:r>
      <w:r w:rsidR="008224C8" w:rsidRPr="000A58B2">
        <w:rPr>
          <w:rFonts w:cs="Arial"/>
          <w:lang w:val="en-US"/>
        </w:rPr>
        <w:t xml:space="preserve"> be </w:t>
      </w:r>
      <w:r w:rsidR="00B43FE4" w:rsidRPr="000A58B2">
        <w:rPr>
          <w:rFonts w:cs="Arial"/>
          <w:lang w:val="en-US"/>
        </w:rPr>
        <w:t>appealed</w:t>
      </w:r>
      <w:r w:rsidR="008224C8" w:rsidRPr="000A58B2">
        <w:rPr>
          <w:rFonts w:cs="Arial"/>
          <w:lang w:val="en-US"/>
        </w:rPr>
        <w:t xml:space="preserve"> through administrative procedures. If the breach originating the </w:t>
      </w:r>
      <w:r w:rsidR="00B43FE4" w:rsidRPr="000A58B2">
        <w:rPr>
          <w:rFonts w:cs="Arial"/>
          <w:lang w:val="en-US"/>
        </w:rPr>
        <w:t>suspension</w:t>
      </w:r>
      <w:r w:rsidR="008224C8" w:rsidRPr="000A58B2">
        <w:rPr>
          <w:rFonts w:cs="Arial"/>
          <w:lang w:val="en-US"/>
        </w:rPr>
        <w:t xml:space="preserve"> is not </w:t>
      </w:r>
      <w:r w:rsidR="00E60DDF">
        <w:rPr>
          <w:rFonts w:cs="Arial"/>
          <w:lang w:val="en-US"/>
        </w:rPr>
        <w:t>cured</w:t>
      </w:r>
      <w:r w:rsidR="008224C8" w:rsidRPr="000A58B2">
        <w:rPr>
          <w:rFonts w:cs="Arial"/>
          <w:lang w:val="en-US"/>
        </w:rPr>
        <w:t xml:space="preserve">, SMV may cancel the operation authorization without </w:t>
      </w:r>
      <w:r w:rsidR="00E60DDF">
        <w:rPr>
          <w:rFonts w:cs="Arial"/>
          <w:lang w:val="en-US"/>
        </w:rPr>
        <w:t>need for</w:t>
      </w:r>
      <w:r w:rsidR="008224C8" w:rsidRPr="000A58B2">
        <w:rPr>
          <w:rFonts w:cs="Arial"/>
          <w:lang w:val="en-US"/>
        </w:rPr>
        <w:t xml:space="preserve"> a sanctioning administrative procedure</w:t>
      </w:r>
      <w:r w:rsidRPr="000A58B2">
        <w:rPr>
          <w:rFonts w:cs="Arial"/>
          <w:lang w:val="en-US"/>
        </w:rPr>
        <w:t>. (***)</w:t>
      </w:r>
    </w:p>
    <w:p w:rsidR="00A81D0E" w:rsidRPr="000A58B2" w:rsidRDefault="00A81D0E" w:rsidP="00A81D0E">
      <w:pPr>
        <w:spacing w:before="100" w:beforeAutospacing="1" w:afterAutospacing="1"/>
        <w:rPr>
          <w:lang w:val="en-US"/>
        </w:rPr>
      </w:pPr>
      <w:r w:rsidRPr="000A58B2">
        <w:rPr>
          <w:lang w:val="en-US"/>
        </w:rPr>
        <w:t xml:space="preserve">15. </w:t>
      </w:r>
      <w:r w:rsidR="00E60DDF">
        <w:rPr>
          <w:lang w:val="en-US"/>
        </w:rPr>
        <w:t>E</w:t>
      </w:r>
      <w:r w:rsidR="008224C8" w:rsidRPr="000A58B2">
        <w:rPr>
          <w:lang w:val="en-US"/>
        </w:rPr>
        <w:t xml:space="preserve">nter into agreements, </w:t>
      </w:r>
      <w:r w:rsidR="00B43FE4" w:rsidRPr="000A58B2">
        <w:rPr>
          <w:lang w:val="en-US"/>
        </w:rPr>
        <w:t>memorand</w:t>
      </w:r>
      <w:r w:rsidR="00E60DDF">
        <w:rPr>
          <w:lang w:val="en-US"/>
        </w:rPr>
        <w:t>a</w:t>
      </w:r>
      <w:r w:rsidR="008224C8" w:rsidRPr="000A58B2">
        <w:rPr>
          <w:lang w:val="en-US"/>
        </w:rPr>
        <w:t xml:space="preserve"> of understanding and contracts, as required, with domestic and international bodies to accomplish </w:t>
      </w:r>
      <w:r w:rsidR="001A5A57">
        <w:rPr>
          <w:lang w:val="en-US"/>
        </w:rPr>
        <w:t xml:space="preserve">the </w:t>
      </w:r>
      <w:r w:rsidR="003D03F3">
        <w:rPr>
          <w:lang w:val="en-US"/>
        </w:rPr>
        <w:t>SMV</w:t>
      </w:r>
      <w:r w:rsidR="00CD0FE8">
        <w:rPr>
          <w:lang w:val="en-US"/>
        </w:rPr>
        <w:t xml:space="preserve"> </w:t>
      </w:r>
      <w:r w:rsidR="008224C8" w:rsidRPr="000A58B2">
        <w:rPr>
          <w:lang w:val="en-US"/>
        </w:rPr>
        <w:t>institutional objectives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16. </w:t>
      </w:r>
      <w:r w:rsidR="006678D8">
        <w:rPr>
          <w:lang w:val="en-US"/>
        </w:rPr>
        <w:t>S</w:t>
      </w:r>
      <w:r w:rsidR="008224C8" w:rsidRPr="000A58B2">
        <w:rPr>
          <w:lang w:val="en-US"/>
        </w:rPr>
        <w:t xml:space="preserve">hare information about the subjects under </w:t>
      </w:r>
      <w:r w:rsidR="006678D8">
        <w:rPr>
          <w:lang w:val="en-US"/>
        </w:rPr>
        <w:t xml:space="preserve">its </w:t>
      </w:r>
      <w:r w:rsidR="008224C8" w:rsidRPr="000A58B2">
        <w:rPr>
          <w:lang w:val="en-US"/>
        </w:rPr>
        <w:t xml:space="preserve">administration with </w:t>
      </w:r>
      <w:r w:rsidR="001A5A57">
        <w:rPr>
          <w:lang w:val="en-US"/>
        </w:rPr>
        <w:t xml:space="preserve"> Central Bank </w:t>
      </w:r>
      <w:r w:rsidR="008224C8" w:rsidRPr="000A58B2">
        <w:rPr>
          <w:lang w:val="en-US"/>
        </w:rPr>
        <w:t xml:space="preserve">for the exclusive use by such entity, within the framework of its respective jurisdiction and provided a reciprocal cooperation and information sharing agreement has been signed. Such information does not include the information protected by the identity confidentiality duty </w:t>
      </w:r>
      <w:r w:rsidR="006678D8">
        <w:rPr>
          <w:lang w:val="en-US"/>
        </w:rPr>
        <w:t>established by L</w:t>
      </w:r>
      <w:r w:rsidR="008224C8" w:rsidRPr="000A58B2">
        <w:rPr>
          <w:lang w:val="en-US"/>
        </w:rPr>
        <w:t>egislative Decree</w:t>
      </w:r>
      <w:r w:rsidRPr="000A58B2">
        <w:rPr>
          <w:lang w:val="en-US"/>
        </w:rPr>
        <w:t xml:space="preserve"> 861, </w:t>
      </w:r>
      <w:r w:rsidR="006678D8">
        <w:rPr>
          <w:lang w:val="en-US"/>
        </w:rPr>
        <w:t xml:space="preserve">the </w:t>
      </w:r>
      <w:r w:rsidR="008224C8" w:rsidRPr="000A58B2">
        <w:rPr>
          <w:lang w:val="en-US"/>
        </w:rPr>
        <w:t>Securities Market Law</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17. </w:t>
      </w:r>
      <w:r w:rsidR="006678D8">
        <w:rPr>
          <w:lang w:val="en-US"/>
        </w:rPr>
        <w:t>S</w:t>
      </w:r>
      <w:r w:rsidR="008224C8" w:rsidRPr="000A58B2">
        <w:rPr>
          <w:lang w:val="en-US"/>
        </w:rPr>
        <w:t xml:space="preserve">hare information </w:t>
      </w:r>
      <w:r w:rsidR="003D03F3" w:rsidRPr="000A58B2">
        <w:rPr>
          <w:lang w:val="en-US"/>
        </w:rPr>
        <w:t xml:space="preserve">with foreign oversight bodies </w:t>
      </w:r>
      <w:r w:rsidR="008224C8" w:rsidRPr="000A58B2">
        <w:rPr>
          <w:lang w:val="en-US"/>
        </w:rPr>
        <w:t xml:space="preserve">about the subjects </w:t>
      </w:r>
      <w:r w:rsidR="003D03F3">
        <w:rPr>
          <w:lang w:val="en-US"/>
        </w:rPr>
        <w:t>within its domain</w:t>
      </w:r>
      <w:r w:rsidR="008224C8" w:rsidRPr="000A58B2">
        <w:rPr>
          <w:lang w:val="en-US"/>
        </w:rPr>
        <w:t xml:space="preserve">, provided </w:t>
      </w:r>
      <w:r w:rsidR="003D03F3" w:rsidRPr="000A58B2">
        <w:rPr>
          <w:lang w:val="en-US"/>
        </w:rPr>
        <w:t xml:space="preserve">SMV </w:t>
      </w:r>
      <w:r w:rsidR="003D03F3">
        <w:rPr>
          <w:lang w:val="en-US"/>
        </w:rPr>
        <w:t xml:space="preserve">has signed </w:t>
      </w:r>
      <w:r w:rsidR="00255D95" w:rsidRPr="000A58B2">
        <w:rPr>
          <w:lang w:val="en-US"/>
        </w:rPr>
        <w:t xml:space="preserve">a </w:t>
      </w:r>
      <w:r w:rsidR="00B43FE4" w:rsidRPr="000A58B2">
        <w:rPr>
          <w:lang w:val="en-US"/>
        </w:rPr>
        <w:t>reciprocal</w:t>
      </w:r>
      <w:r w:rsidR="00255D95" w:rsidRPr="000A58B2">
        <w:rPr>
          <w:lang w:val="en-US"/>
        </w:rPr>
        <w:t xml:space="preserve"> cooperation agreement or memorandum of understanding with such bodies</w:t>
      </w:r>
      <w:r w:rsidR="001A5A57">
        <w:rPr>
          <w:lang w:val="en-US"/>
        </w:rPr>
        <w:t xml:space="preserve"> by SMV. Such</w:t>
      </w:r>
      <w:r w:rsidR="00A66DA3">
        <w:rPr>
          <w:lang w:val="en-US"/>
        </w:rPr>
        <w:t xml:space="preserve"> </w:t>
      </w:r>
      <w:r w:rsidR="001A5A57">
        <w:rPr>
          <w:lang w:val="en-US"/>
        </w:rPr>
        <w:t>i</w:t>
      </w:r>
      <w:r w:rsidR="00255D95" w:rsidRPr="000A58B2">
        <w:rPr>
          <w:lang w:val="en-US"/>
        </w:rPr>
        <w:t>nformation may include the information protected by the confidentiality duty as well as witness depositions taken by SMV in the exercise of its functions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18. </w:t>
      </w:r>
      <w:r w:rsidR="00255D95" w:rsidRPr="000A58B2">
        <w:rPr>
          <w:lang w:val="en-US"/>
        </w:rPr>
        <w:t xml:space="preserve">Hire, suspend, remove or dismiss </w:t>
      </w:r>
      <w:r w:rsidRPr="000A58B2">
        <w:rPr>
          <w:lang w:val="en-US"/>
        </w:rPr>
        <w:t>S</w:t>
      </w:r>
      <w:r w:rsidR="003D03F3">
        <w:rPr>
          <w:lang w:val="en-US"/>
        </w:rPr>
        <w:t>MV</w:t>
      </w:r>
      <w:r w:rsidR="00255D95" w:rsidRPr="000A58B2">
        <w:rPr>
          <w:lang w:val="en-US"/>
        </w:rPr>
        <w:t xml:space="preserve"> personnel, as well as determine their compensation, in the framework of existing legal provisions. </w:t>
      </w:r>
    </w:p>
    <w:p w:rsidR="00A81D0E" w:rsidRPr="000A58B2" w:rsidRDefault="00A81D0E" w:rsidP="00A81D0E">
      <w:pPr>
        <w:spacing w:before="100" w:beforeAutospacing="1" w:afterAutospacing="1"/>
        <w:rPr>
          <w:lang w:val="en-US"/>
        </w:rPr>
      </w:pPr>
      <w:r w:rsidRPr="000A58B2">
        <w:rPr>
          <w:lang w:val="en-US"/>
        </w:rPr>
        <w:t xml:space="preserve">19. </w:t>
      </w:r>
      <w:r w:rsidR="00255D95" w:rsidRPr="000A58B2">
        <w:rPr>
          <w:lang w:val="en-US"/>
        </w:rPr>
        <w:t xml:space="preserve">Appoint, among the </w:t>
      </w:r>
      <w:r w:rsidR="00141470">
        <w:rPr>
          <w:lang w:val="en-US"/>
        </w:rPr>
        <w:t>Deputy</w:t>
      </w:r>
      <w:r w:rsidR="00141470" w:rsidRPr="000A58B2">
        <w:rPr>
          <w:lang w:val="en-US"/>
        </w:rPr>
        <w:t xml:space="preserve"> </w:t>
      </w:r>
      <w:r w:rsidR="006678D8" w:rsidRPr="000A58B2">
        <w:rPr>
          <w:lang w:val="en-US"/>
        </w:rPr>
        <w:t>Superintenden</w:t>
      </w:r>
      <w:r w:rsidR="006678D8">
        <w:rPr>
          <w:lang w:val="en-US"/>
        </w:rPr>
        <w:t xml:space="preserve">ts, </w:t>
      </w:r>
      <w:r w:rsidR="00255D95" w:rsidRPr="000A58B2">
        <w:rPr>
          <w:lang w:val="en-US"/>
        </w:rPr>
        <w:t xml:space="preserve">the </w:t>
      </w:r>
      <w:r w:rsidR="003D03F3">
        <w:rPr>
          <w:lang w:val="en-US"/>
        </w:rPr>
        <w:t xml:space="preserve">successors of officials impeded to discharge their duties for </w:t>
      </w:r>
      <w:r w:rsidR="00255D95" w:rsidRPr="000A58B2">
        <w:rPr>
          <w:lang w:val="en-US"/>
        </w:rPr>
        <w:t xml:space="preserve">reasons of </w:t>
      </w:r>
      <w:r w:rsidR="006678D8" w:rsidRPr="000A58B2">
        <w:rPr>
          <w:lang w:val="en-US"/>
        </w:rPr>
        <w:t xml:space="preserve">temporary </w:t>
      </w:r>
      <w:r w:rsidR="00255D95" w:rsidRPr="000A58B2">
        <w:rPr>
          <w:lang w:val="en-US"/>
        </w:rPr>
        <w:t xml:space="preserve">absence or impediment.  </w:t>
      </w:r>
    </w:p>
    <w:p w:rsidR="00A81D0E" w:rsidRPr="000A58B2" w:rsidRDefault="00A81D0E" w:rsidP="00A81D0E">
      <w:pPr>
        <w:spacing w:before="100" w:beforeAutospacing="1" w:afterAutospacing="1"/>
        <w:rPr>
          <w:lang w:val="en-US"/>
        </w:rPr>
      </w:pPr>
      <w:r w:rsidRPr="000A58B2">
        <w:rPr>
          <w:lang w:val="en-US"/>
        </w:rPr>
        <w:t xml:space="preserve">20. </w:t>
      </w:r>
      <w:r w:rsidR="00255D95" w:rsidRPr="000A58B2">
        <w:rPr>
          <w:lang w:val="en-US"/>
        </w:rPr>
        <w:t>Schedul</w:t>
      </w:r>
      <w:r w:rsidR="006678D8">
        <w:rPr>
          <w:lang w:val="en-US"/>
        </w:rPr>
        <w:t>e, formulate or propose to the B</w:t>
      </w:r>
      <w:r w:rsidR="00255D95" w:rsidRPr="000A58B2">
        <w:rPr>
          <w:lang w:val="en-US"/>
        </w:rPr>
        <w:t xml:space="preserve">oard, for its approval, </w:t>
      </w:r>
      <w:r w:rsidR="00141470">
        <w:rPr>
          <w:lang w:val="en-US"/>
        </w:rPr>
        <w:t xml:space="preserve">the </w:t>
      </w:r>
      <w:r w:rsidR="003D03F3">
        <w:rPr>
          <w:lang w:val="en-US"/>
        </w:rPr>
        <w:t>SMV’s</w:t>
      </w:r>
      <w:r w:rsidR="00255D95" w:rsidRPr="000A58B2">
        <w:rPr>
          <w:lang w:val="en-US"/>
        </w:rPr>
        <w:t xml:space="preserve"> budget and to execute it in the framework of existing regulations. </w:t>
      </w:r>
    </w:p>
    <w:p w:rsidR="00A81D0E" w:rsidRPr="000A58B2" w:rsidRDefault="00A81D0E" w:rsidP="00A81D0E">
      <w:pPr>
        <w:spacing w:before="100" w:beforeAutospacing="1" w:afterAutospacing="1"/>
        <w:rPr>
          <w:lang w:val="en-US"/>
        </w:rPr>
      </w:pPr>
      <w:r w:rsidRPr="000A58B2">
        <w:rPr>
          <w:lang w:val="en-US"/>
        </w:rPr>
        <w:t xml:space="preserve">21. </w:t>
      </w:r>
      <w:r w:rsidR="00255D95" w:rsidRPr="000A58B2">
        <w:rPr>
          <w:lang w:val="en-US"/>
        </w:rPr>
        <w:t>Approve, by means of an executive order issued by the</w:t>
      </w:r>
      <w:r w:rsidRPr="000A58B2">
        <w:rPr>
          <w:lang w:val="en-US"/>
        </w:rPr>
        <w:t xml:space="preserve"> Superintendent</w:t>
      </w:r>
      <w:r w:rsidR="00141470">
        <w:rPr>
          <w:lang w:val="en-US"/>
        </w:rPr>
        <w:t xml:space="preserve"> of Securities Market</w:t>
      </w:r>
      <w:r w:rsidRPr="000A58B2">
        <w:rPr>
          <w:lang w:val="en-US"/>
        </w:rPr>
        <w:t xml:space="preserve">, </w:t>
      </w:r>
      <w:r w:rsidR="00255D95" w:rsidRPr="000A58B2">
        <w:rPr>
          <w:lang w:val="en-US"/>
        </w:rPr>
        <w:t xml:space="preserve">the </w:t>
      </w:r>
      <w:r w:rsidR="00141470">
        <w:rPr>
          <w:lang w:val="en-US"/>
        </w:rPr>
        <w:t>staff</w:t>
      </w:r>
      <w:r w:rsidRPr="000A58B2">
        <w:rPr>
          <w:lang w:val="en-US"/>
        </w:rPr>
        <w:t xml:space="preserve">, </w:t>
      </w:r>
      <w:r w:rsidR="00255D95" w:rsidRPr="000A58B2">
        <w:rPr>
          <w:lang w:val="en-US"/>
        </w:rPr>
        <w:t xml:space="preserve">the </w:t>
      </w:r>
      <w:r w:rsidR="00141470">
        <w:rPr>
          <w:lang w:val="en-US"/>
        </w:rPr>
        <w:t>Unified</w:t>
      </w:r>
      <w:r w:rsidR="00141470" w:rsidRPr="000A58B2">
        <w:rPr>
          <w:lang w:val="en-US"/>
        </w:rPr>
        <w:t xml:space="preserve"> </w:t>
      </w:r>
      <w:r w:rsidR="00255D95" w:rsidRPr="000A58B2">
        <w:rPr>
          <w:lang w:val="en-US"/>
        </w:rPr>
        <w:t>Administrative Procedures Text</w:t>
      </w:r>
      <w:r w:rsidR="00141470">
        <w:rPr>
          <w:lang w:val="en-US"/>
        </w:rPr>
        <w:t xml:space="preserve"> </w:t>
      </w:r>
      <w:r w:rsidR="00255D95" w:rsidRPr="000A58B2">
        <w:rPr>
          <w:lang w:val="en-US"/>
        </w:rPr>
        <w:t>(</w:t>
      </w:r>
      <w:r w:rsidRPr="000A58B2">
        <w:rPr>
          <w:lang w:val="en-US"/>
        </w:rPr>
        <w:t xml:space="preserve">TUPA) </w:t>
      </w:r>
      <w:r w:rsidR="00255D95" w:rsidRPr="000A58B2">
        <w:rPr>
          <w:lang w:val="en-US"/>
        </w:rPr>
        <w:t xml:space="preserve">and other internal regulations </w:t>
      </w:r>
      <w:r w:rsidR="006678D8">
        <w:rPr>
          <w:lang w:val="en-US"/>
        </w:rPr>
        <w:t xml:space="preserve">as per </w:t>
      </w:r>
      <w:r w:rsidR="00255D95" w:rsidRPr="000A58B2">
        <w:rPr>
          <w:lang w:val="en-US"/>
        </w:rPr>
        <w:t xml:space="preserve">existing provisions in this matter. </w:t>
      </w:r>
    </w:p>
    <w:p w:rsidR="00A81D0E" w:rsidRPr="000A58B2" w:rsidRDefault="00A81D0E" w:rsidP="00A81D0E">
      <w:pPr>
        <w:spacing w:before="100" w:beforeAutospacing="1" w:afterAutospacing="1"/>
        <w:rPr>
          <w:lang w:val="en-US"/>
        </w:rPr>
      </w:pPr>
      <w:r w:rsidRPr="000A58B2">
        <w:rPr>
          <w:rFonts w:cs="Arial"/>
          <w:lang w:val="en-US"/>
        </w:rPr>
        <w:t xml:space="preserve">22. </w:t>
      </w:r>
      <w:r w:rsidR="00255D95" w:rsidRPr="000A58B2">
        <w:rPr>
          <w:rFonts w:cs="Arial"/>
          <w:lang w:val="en-US"/>
        </w:rPr>
        <w:t xml:space="preserve">Approve, by means </w:t>
      </w:r>
      <w:r w:rsidR="00255D95" w:rsidRPr="000A58B2">
        <w:rPr>
          <w:lang w:val="en-US"/>
        </w:rPr>
        <w:t>of an executive order issued by the Superintendent</w:t>
      </w:r>
      <w:r w:rsidR="00141470">
        <w:rPr>
          <w:lang w:val="en-US"/>
        </w:rPr>
        <w:t xml:space="preserve"> of Securities Market</w:t>
      </w:r>
      <w:r w:rsidR="006678D8">
        <w:rPr>
          <w:lang w:val="en-US"/>
        </w:rPr>
        <w:t>, the organization</w:t>
      </w:r>
      <w:r w:rsidR="00255D95" w:rsidRPr="000A58B2">
        <w:rPr>
          <w:lang w:val="en-US"/>
        </w:rPr>
        <w:t xml:space="preserve"> and functions guidel</w:t>
      </w:r>
      <w:r w:rsidR="00113108" w:rsidRPr="000A58B2">
        <w:rPr>
          <w:lang w:val="en-US"/>
        </w:rPr>
        <w:t xml:space="preserve">ines, in compliance with provisions set forth </w:t>
      </w:r>
      <w:r w:rsidR="006678D8">
        <w:rPr>
          <w:lang w:val="en-US"/>
        </w:rPr>
        <w:t>to regulate</w:t>
      </w:r>
      <w:r w:rsidR="00141470">
        <w:rPr>
          <w:lang w:val="en-US"/>
        </w:rPr>
        <w:t xml:space="preserve"> </w:t>
      </w:r>
      <w:r w:rsidR="003D03F3">
        <w:rPr>
          <w:lang w:val="en-US"/>
        </w:rPr>
        <w:t xml:space="preserve">relevant existing </w:t>
      </w:r>
      <w:r w:rsidR="00113108" w:rsidRPr="000A58B2">
        <w:rPr>
          <w:lang w:val="en-US"/>
        </w:rPr>
        <w:t>norms</w:t>
      </w:r>
      <w:r w:rsidRPr="000A58B2">
        <w:rPr>
          <w:rFonts w:cs="Arial"/>
          <w:lang w:val="en-US"/>
        </w:rPr>
        <w:t>.</w:t>
      </w:r>
      <w:r w:rsidRPr="000A58B2">
        <w:rPr>
          <w:bCs/>
          <w:lang w:val="en-US"/>
        </w:rPr>
        <w:t>(***)</w:t>
      </w:r>
    </w:p>
    <w:p w:rsidR="00A81D0E" w:rsidRPr="000A58B2" w:rsidRDefault="00A81D0E" w:rsidP="00A81D0E">
      <w:pPr>
        <w:spacing w:before="100" w:beforeAutospacing="1" w:afterAutospacing="1"/>
        <w:rPr>
          <w:lang w:val="en-US"/>
        </w:rPr>
      </w:pPr>
      <w:r w:rsidRPr="000A58B2">
        <w:rPr>
          <w:lang w:val="en-US"/>
        </w:rPr>
        <w:t xml:space="preserve">23. </w:t>
      </w:r>
      <w:r w:rsidR="00113108" w:rsidRPr="000A58B2">
        <w:rPr>
          <w:lang w:val="en-US"/>
        </w:rPr>
        <w:t>Require public offices and State entities to prepare and issue whatever reports it deems appropriate and to hire exp</w:t>
      </w:r>
      <w:r w:rsidR="006678D8">
        <w:rPr>
          <w:lang w:val="en-US"/>
        </w:rPr>
        <w:t>e</w:t>
      </w:r>
      <w:r w:rsidR="00113108" w:rsidRPr="000A58B2">
        <w:rPr>
          <w:lang w:val="en-US"/>
        </w:rPr>
        <w:t>rt and technical services.</w:t>
      </w:r>
    </w:p>
    <w:p w:rsidR="00A81D0E" w:rsidRPr="000A58B2" w:rsidRDefault="00A81D0E" w:rsidP="00A81D0E">
      <w:pPr>
        <w:spacing w:before="100" w:beforeAutospacing="1" w:afterAutospacing="1"/>
        <w:rPr>
          <w:lang w:val="en-US"/>
        </w:rPr>
      </w:pPr>
      <w:r w:rsidRPr="000A58B2">
        <w:rPr>
          <w:lang w:val="en-US"/>
        </w:rPr>
        <w:t xml:space="preserve">24. </w:t>
      </w:r>
      <w:r w:rsidR="00113108" w:rsidRPr="000A58B2">
        <w:rPr>
          <w:lang w:val="en-US"/>
        </w:rPr>
        <w:t xml:space="preserve">Manage and collect levies to </w:t>
      </w:r>
      <w:r w:rsidR="003D03F3">
        <w:rPr>
          <w:lang w:val="en-US"/>
        </w:rPr>
        <w:t>finance</w:t>
      </w:r>
      <w:r w:rsidR="00445196">
        <w:rPr>
          <w:lang w:val="en-US"/>
        </w:rPr>
        <w:t xml:space="preserve"> </w:t>
      </w:r>
      <w:r w:rsidRPr="000A58B2">
        <w:rPr>
          <w:lang w:val="en-US"/>
        </w:rPr>
        <w:t>S</w:t>
      </w:r>
      <w:r w:rsidR="003D03F3">
        <w:rPr>
          <w:lang w:val="en-US"/>
        </w:rPr>
        <w:t>MV’s</w:t>
      </w:r>
      <w:r w:rsidR="00113108" w:rsidRPr="000A58B2">
        <w:rPr>
          <w:lang w:val="en-US"/>
        </w:rPr>
        <w:t xml:space="preserve"> activities and the corresponding interest and past due fees.</w:t>
      </w:r>
    </w:p>
    <w:p w:rsidR="00A81D0E" w:rsidRPr="000A58B2" w:rsidRDefault="00A81D0E" w:rsidP="00A81D0E">
      <w:pPr>
        <w:spacing w:before="100" w:beforeAutospacing="1" w:afterAutospacing="1"/>
        <w:rPr>
          <w:lang w:val="en-US"/>
        </w:rPr>
      </w:pPr>
      <w:r w:rsidRPr="000A58B2">
        <w:rPr>
          <w:lang w:val="en-US"/>
        </w:rPr>
        <w:t xml:space="preserve">25. </w:t>
      </w:r>
      <w:r w:rsidR="00113108" w:rsidRPr="000A58B2">
        <w:rPr>
          <w:lang w:val="en-US"/>
        </w:rPr>
        <w:t xml:space="preserve">Approve the operational policies, programs and </w:t>
      </w:r>
      <w:r w:rsidR="006678D8">
        <w:rPr>
          <w:lang w:val="en-US"/>
        </w:rPr>
        <w:t xml:space="preserve">the </w:t>
      </w:r>
      <w:r w:rsidR="00113108" w:rsidRPr="000A58B2">
        <w:rPr>
          <w:lang w:val="en-US"/>
        </w:rPr>
        <w:t>General Supervision and Inspection Plan</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26. </w:t>
      </w:r>
      <w:r w:rsidR="00113108" w:rsidRPr="000A58B2">
        <w:rPr>
          <w:lang w:val="en-US"/>
        </w:rPr>
        <w:t xml:space="preserve">Exercise the </w:t>
      </w:r>
      <w:r w:rsidR="00445196">
        <w:rPr>
          <w:lang w:val="en-US"/>
        </w:rPr>
        <w:t>foreclosure</w:t>
      </w:r>
      <w:r w:rsidR="00113108" w:rsidRPr="000A58B2">
        <w:rPr>
          <w:lang w:val="en-US"/>
        </w:rPr>
        <w:t xml:space="preserve"> on </w:t>
      </w:r>
      <w:r w:rsidR="00445196">
        <w:rPr>
          <w:lang w:val="en-US"/>
        </w:rPr>
        <w:t>individuals</w:t>
      </w:r>
      <w:r w:rsidR="00445196" w:rsidRPr="000A58B2">
        <w:rPr>
          <w:lang w:val="en-US"/>
        </w:rPr>
        <w:t xml:space="preserve"> </w:t>
      </w:r>
      <w:r w:rsidR="00113108" w:rsidRPr="000A58B2">
        <w:rPr>
          <w:lang w:val="en-US"/>
        </w:rPr>
        <w:t xml:space="preserve">and </w:t>
      </w:r>
      <w:r w:rsidR="00445196">
        <w:rPr>
          <w:lang w:val="en-US"/>
        </w:rPr>
        <w:t>legal</w:t>
      </w:r>
      <w:r w:rsidR="00445196" w:rsidRPr="000A58B2">
        <w:rPr>
          <w:lang w:val="en-US"/>
        </w:rPr>
        <w:t xml:space="preserve"> </w:t>
      </w:r>
      <w:r w:rsidR="00113108" w:rsidRPr="000A58B2">
        <w:rPr>
          <w:lang w:val="en-US"/>
        </w:rPr>
        <w:t>persons subject to supervision, pursuant to Law</w:t>
      </w:r>
      <w:r w:rsidRPr="000A58B2">
        <w:rPr>
          <w:lang w:val="en-US"/>
        </w:rPr>
        <w:t xml:space="preserve"> 26979, </w:t>
      </w:r>
      <w:r w:rsidR="00113108" w:rsidRPr="000A58B2">
        <w:rPr>
          <w:lang w:val="en-US"/>
        </w:rPr>
        <w:t>Coercive Execution Procedure Law</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27. </w:t>
      </w:r>
      <w:r w:rsidR="00113108" w:rsidRPr="000A58B2">
        <w:rPr>
          <w:lang w:val="en-US"/>
        </w:rPr>
        <w:t>Exercise all other powers and attributions vested upon it by the Board</w:t>
      </w:r>
      <w:r w:rsidRPr="000A58B2">
        <w:rPr>
          <w:lang w:val="en-US"/>
        </w:rPr>
        <w:t>.</w:t>
      </w:r>
    </w:p>
    <w:p w:rsidR="00A81D0E" w:rsidRPr="000A58B2" w:rsidRDefault="00A81D0E" w:rsidP="00A81D0E">
      <w:pPr>
        <w:spacing w:before="100" w:beforeAutospacing="1" w:afterAutospacing="1"/>
        <w:rPr>
          <w:lang w:val="en-US"/>
        </w:rPr>
      </w:pPr>
      <w:r w:rsidRPr="000A58B2">
        <w:rPr>
          <w:lang w:val="en-US"/>
        </w:rPr>
        <w:lastRenderedPageBreak/>
        <w:t xml:space="preserve">28. </w:t>
      </w:r>
      <w:r w:rsidR="00113108" w:rsidRPr="000A58B2">
        <w:rPr>
          <w:lang w:val="en-US"/>
        </w:rPr>
        <w:t>Delegate any of the afore-mentioned attributions on the officials or bodies it deems appropriate</w:t>
      </w:r>
      <w:r w:rsidRPr="000A58B2">
        <w:rPr>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113108" w:rsidRPr="000A58B2">
        <w:rPr>
          <w:bCs/>
          <w:sz w:val="18"/>
          <w:szCs w:val="18"/>
          <w:lang w:val="en-US"/>
        </w:rPr>
        <w:t>Article replaced by Article 2</w:t>
      </w:r>
      <w:hyperlink r:id="rId12" w:anchor="JD_L29782-A2" w:history="1">
        <w:r w:rsidR="00DB2CA1" w:rsidRPr="000A58B2">
          <w:rPr>
            <w:bCs/>
            <w:sz w:val="18"/>
            <w:szCs w:val="18"/>
            <w:lang w:val="en-US"/>
          </w:rPr>
          <w:t>under Law 29782</w:t>
        </w:r>
      </w:hyperlink>
      <w:r w:rsidRPr="000A58B2">
        <w:rPr>
          <w:bCs/>
          <w:sz w:val="18"/>
          <w:szCs w:val="18"/>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DB2CA1" w:rsidRPr="000A58B2">
        <w:rPr>
          <w:bCs/>
          <w:sz w:val="18"/>
          <w:szCs w:val="18"/>
          <w:lang w:val="en-US"/>
        </w:rPr>
        <w:t>Paragraph included by Article 5 under Law 30050</w:t>
      </w:r>
      <w:r w:rsidRPr="000A58B2">
        <w:rPr>
          <w:bCs/>
          <w:sz w:val="18"/>
          <w:szCs w:val="18"/>
          <w:lang w:val="en-US"/>
        </w:rPr>
        <w:t xml:space="preserve">. </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DB2CA1" w:rsidRPr="000A58B2">
        <w:rPr>
          <w:bCs/>
          <w:sz w:val="18"/>
          <w:szCs w:val="18"/>
          <w:lang w:val="en-US"/>
        </w:rPr>
        <w:t xml:space="preserve">Section modified by Article 4under Law 30050. </w:t>
      </w:r>
    </w:p>
    <w:p w:rsidR="00A81D0E" w:rsidRPr="002630F7" w:rsidRDefault="00B06D99" w:rsidP="00B605A7">
      <w:pPr>
        <w:pStyle w:val="Ttulo1"/>
        <w:rPr>
          <w:rFonts w:ascii="Arial Narrow" w:hAnsi="Arial Narrow"/>
          <w:sz w:val="22"/>
          <w:szCs w:val="22"/>
          <w:lang w:val="en-US"/>
        </w:rPr>
      </w:pPr>
      <w:bookmarkStart w:id="5" w:name="_Toc376963177"/>
      <w:bookmarkStart w:id="6" w:name="_Toc440386582"/>
      <w:r w:rsidRPr="002630F7">
        <w:rPr>
          <w:rFonts w:ascii="Arial Narrow" w:hAnsi="Arial Narrow"/>
          <w:sz w:val="22"/>
          <w:szCs w:val="22"/>
          <w:lang w:val="en-US"/>
        </w:rPr>
        <w:t>TITLE</w:t>
      </w:r>
      <w:r w:rsidR="00A81D0E" w:rsidRPr="002630F7">
        <w:rPr>
          <w:rFonts w:ascii="Arial Narrow" w:hAnsi="Arial Narrow"/>
          <w:sz w:val="22"/>
          <w:szCs w:val="22"/>
          <w:lang w:val="en-US"/>
        </w:rPr>
        <w:t xml:space="preserve"> II</w:t>
      </w:r>
      <w:bookmarkEnd w:id="5"/>
      <w:bookmarkEnd w:id="6"/>
    </w:p>
    <w:p w:rsidR="00A81D0E" w:rsidRPr="002630F7" w:rsidRDefault="00CD02B0" w:rsidP="00B605A7">
      <w:pPr>
        <w:pStyle w:val="Ttulo1"/>
        <w:rPr>
          <w:rFonts w:ascii="Arial Narrow" w:hAnsi="Arial Narrow"/>
          <w:sz w:val="22"/>
          <w:szCs w:val="22"/>
          <w:lang w:val="en-US"/>
        </w:rPr>
      </w:pPr>
      <w:bookmarkStart w:id="7" w:name="_Toc440386583"/>
      <w:r w:rsidRPr="002630F7">
        <w:rPr>
          <w:rFonts w:ascii="Arial Narrow" w:hAnsi="Arial Narrow"/>
          <w:sz w:val="22"/>
          <w:szCs w:val="22"/>
          <w:lang w:val="en-US"/>
        </w:rPr>
        <w:t>BOARD OF DIRECTORS</w:t>
      </w:r>
      <w:bookmarkEnd w:id="7"/>
    </w:p>
    <w:p w:rsidR="00A81D0E" w:rsidRPr="00EB6E97" w:rsidRDefault="00CD02B0" w:rsidP="00A81D0E">
      <w:pPr>
        <w:spacing w:before="100" w:beforeAutospacing="1" w:afterAutospacing="1"/>
        <w:rPr>
          <w:lang w:val="en-US"/>
        </w:rPr>
      </w:pPr>
      <w:r w:rsidRPr="00EB6E97">
        <w:rPr>
          <w:b/>
          <w:bCs/>
          <w:lang w:val="en-US"/>
        </w:rPr>
        <w:t>Article</w:t>
      </w:r>
      <w:r w:rsidR="00A81D0E" w:rsidRPr="00EB6E97">
        <w:rPr>
          <w:b/>
          <w:bCs/>
          <w:lang w:val="en-US"/>
        </w:rPr>
        <w:t xml:space="preserve"> 4. </w:t>
      </w:r>
      <w:r w:rsidRPr="00EB6E97">
        <w:rPr>
          <w:b/>
          <w:bCs/>
          <w:lang w:val="en-US"/>
        </w:rPr>
        <w:t>Appoin</w:t>
      </w:r>
      <w:r w:rsidR="006678D8" w:rsidRPr="00EB6E97">
        <w:rPr>
          <w:b/>
          <w:bCs/>
          <w:lang w:val="en-US"/>
        </w:rPr>
        <w:t>tment</w:t>
      </w:r>
      <w:r w:rsidRPr="00EB6E97">
        <w:rPr>
          <w:b/>
          <w:bCs/>
          <w:lang w:val="en-US"/>
        </w:rPr>
        <w:t xml:space="preserve"> and removal of </w:t>
      </w:r>
      <w:r w:rsidR="00A81D0E" w:rsidRPr="00EB6E97">
        <w:rPr>
          <w:b/>
          <w:bCs/>
          <w:lang w:val="en-US"/>
        </w:rPr>
        <w:t>S</w:t>
      </w:r>
      <w:r w:rsidR="00EF0218">
        <w:rPr>
          <w:b/>
          <w:bCs/>
          <w:lang w:val="en-US"/>
        </w:rPr>
        <w:t>MV’s</w:t>
      </w:r>
      <w:r w:rsidRPr="00EB6E97">
        <w:rPr>
          <w:b/>
          <w:bCs/>
          <w:lang w:val="en-US"/>
        </w:rPr>
        <w:t xml:space="preserve"> Board of Directors</w:t>
      </w:r>
      <w:r w:rsidR="00531150">
        <w:rPr>
          <w:b/>
          <w:bCs/>
          <w:lang w:val="en-US"/>
        </w:rPr>
        <w:t xml:space="preserve"> </w:t>
      </w:r>
      <w:r w:rsidR="00A81D0E" w:rsidRPr="00EB6E97">
        <w:rPr>
          <w:bCs/>
          <w:lang w:val="en-US"/>
        </w:rPr>
        <w:t>(*)</w:t>
      </w:r>
    </w:p>
    <w:p w:rsidR="00A81D0E" w:rsidRPr="000A58B2" w:rsidRDefault="00CD02B0" w:rsidP="00A81D0E">
      <w:pPr>
        <w:spacing w:before="100" w:beforeAutospacing="1" w:afterAutospacing="1"/>
        <w:rPr>
          <w:lang w:val="en-US"/>
        </w:rPr>
      </w:pPr>
      <w:r w:rsidRPr="00EB6E97">
        <w:rPr>
          <w:lang w:val="en-US"/>
        </w:rPr>
        <w:t xml:space="preserve">The </w:t>
      </w:r>
      <w:r w:rsidR="0035115F">
        <w:rPr>
          <w:lang w:val="en-US"/>
        </w:rPr>
        <w:t>SMV</w:t>
      </w:r>
      <w:r w:rsidR="009F1898">
        <w:rPr>
          <w:lang w:val="en-US"/>
        </w:rPr>
        <w:t>´s</w:t>
      </w:r>
      <w:r w:rsidR="0035115F">
        <w:rPr>
          <w:lang w:val="en-US"/>
        </w:rPr>
        <w:t xml:space="preserve"> </w:t>
      </w:r>
      <w:r w:rsidRPr="00EB6E97">
        <w:rPr>
          <w:lang w:val="en-US"/>
        </w:rPr>
        <w:t xml:space="preserve">Board of Directors is charged with approving institutional policies and objectives as well as the market regulations under SMV’s jurisdiction. It is comprised of the Superintendent of the </w:t>
      </w:r>
      <w:r w:rsidR="00445196">
        <w:rPr>
          <w:lang w:val="en-US"/>
        </w:rPr>
        <w:t xml:space="preserve">Superintendent of </w:t>
      </w:r>
      <w:r w:rsidRPr="00EB6E97">
        <w:rPr>
          <w:lang w:val="en-US"/>
        </w:rPr>
        <w:t xml:space="preserve">Securities Market, who will </w:t>
      </w:r>
      <w:r w:rsidR="00EF0218">
        <w:rPr>
          <w:lang w:val="en-US"/>
        </w:rPr>
        <w:t>chair</w:t>
      </w:r>
      <w:r w:rsidRPr="00EB6E97">
        <w:rPr>
          <w:lang w:val="en-US"/>
        </w:rPr>
        <w:t xml:space="preserve"> it, and four directors appointed by the </w:t>
      </w:r>
      <w:r w:rsidR="00445196">
        <w:rPr>
          <w:lang w:val="en-US"/>
        </w:rPr>
        <w:t>Government</w:t>
      </w:r>
      <w:r w:rsidRPr="00EB6E97">
        <w:rPr>
          <w:lang w:val="en-US"/>
        </w:rPr>
        <w:t xml:space="preserve"> through Supreme Decree signed by the Minister of Economy of Finance. One candidate will be proposed by the Ministry of Economy and Finance, one by the Central Bank of Peru and one by the Superintendenc</w:t>
      </w:r>
      <w:r w:rsidR="00445196">
        <w:rPr>
          <w:lang w:val="en-US"/>
        </w:rPr>
        <w:t>e</w:t>
      </w:r>
      <w:r w:rsidRPr="00EB6E97">
        <w:rPr>
          <w:lang w:val="en-US"/>
        </w:rPr>
        <w:t xml:space="preserve"> </w:t>
      </w:r>
      <w:r w:rsidR="00445196">
        <w:rPr>
          <w:lang w:val="en-US"/>
        </w:rPr>
        <w:t>of</w:t>
      </w:r>
      <w:r w:rsidR="00445196" w:rsidRPr="00EB6E97">
        <w:rPr>
          <w:lang w:val="en-US"/>
        </w:rPr>
        <w:t xml:space="preserve"> </w:t>
      </w:r>
      <w:r w:rsidRPr="00EB6E97">
        <w:rPr>
          <w:lang w:val="en-US"/>
        </w:rPr>
        <w:t xml:space="preserve">Banks, Insurance and Private Pension Fund </w:t>
      </w:r>
      <w:r w:rsidR="00445196">
        <w:rPr>
          <w:lang w:val="en-US"/>
        </w:rPr>
        <w:t>Management Companies</w:t>
      </w:r>
      <w:r w:rsidR="00445196" w:rsidRPr="00EB6E97">
        <w:rPr>
          <w:lang w:val="en-US"/>
        </w:rPr>
        <w:t xml:space="preserve"> </w:t>
      </w:r>
      <w:r w:rsidR="00B43FE4" w:rsidRPr="00EB6E97">
        <w:rPr>
          <w:lang w:val="en-US"/>
        </w:rPr>
        <w:t>(</w:t>
      </w:r>
      <w:r w:rsidR="00A81D0E" w:rsidRPr="00EB6E97">
        <w:rPr>
          <w:lang w:val="en-US"/>
        </w:rPr>
        <w:t xml:space="preserve">SBS). </w:t>
      </w:r>
      <w:r w:rsidRPr="00EB6E97">
        <w:rPr>
          <w:lang w:val="en-US"/>
        </w:rPr>
        <w:t xml:space="preserve">In addition, an independent director will be a member of the SMV’s Board of Directors. This independent director will not have conflicts of interest nor be related by virtue of </w:t>
      </w:r>
      <w:r w:rsidR="00445196">
        <w:rPr>
          <w:lang w:val="en-US"/>
        </w:rPr>
        <w:t>any</w:t>
      </w:r>
      <w:r w:rsidR="00445196" w:rsidRPr="00EB6E97">
        <w:rPr>
          <w:lang w:val="en-US"/>
        </w:rPr>
        <w:t xml:space="preserve"> professional</w:t>
      </w:r>
      <w:r w:rsidRPr="00EB6E97">
        <w:rPr>
          <w:lang w:val="en-US"/>
        </w:rPr>
        <w:t xml:space="preserve"> activities </w:t>
      </w:r>
      <w:r w:rsidR="00EF0218">
        <w:rPr>
          <w:lang w:val="en-US"/>
        </w:rPr>
        <w:t>regarding</w:t>
      </w:r>
      <w:r w:rsidRPr="00EB6E97">
        <w:rPr>
          <w:lang w:val="en-US"/>
        </w:rPr>
        <w:t xml:space="preserve"> any of the subject matters </w:t>
      </w:r>
      <w:r w:rsidR="00EF0218">
        <w:rPr>
          <w:lang w:val="en-US"/>
        </w:rPr>
        <w:t>within</w:t>
      </w:r>
      <w:r w:rsidRPr="00EB6E97">
        <w:rPr>
          <w:lang w:val="en-US"/>
        </w:rPr>
        <w:t xml:space="preserve"> SMV’s competency. SMV will issue the regulations required for the appointment of such independent director.</w:t>
      </w:r>
    </w:p>
    <w:p w:rsidR="00A81D0E" w:rsidRPr="000A58B2" w:rsidRDefault="00CD02B0" w:rsidP="00A81D0E">
      <w:pPr>
        <w:spacing w:before="100" w:beforeAutospacing="1" w:afterAutospacing="1"/>
        <w:rPr>
          <w:lang w:val="en-US"/>
        </w:rPr>
      </w:pPr>
      <w:r w:rsidRPr="000A58B2">
        <w:rPr>
          <w:lang w:val="en-US"/>
        </w:rPr>
        <w:t xml:space="preserve">The members of the Board of Directors do not represent the interests of the entity </w:t>
      </w:r>
      <w:r w:rsidR="00445196">
        <w:rPr>
          <w:lang w:val="en-US"/>
        </w:rPr>
        <w:t>from where</w:t>
      </w:r>
      <w:r w:rsidRPr="000A58B2">
        <w:rPr>
          <w:lang w:val="en-US"/>
        </w:rPr>
        <w:t xml:space="preserve"> they come, nor any specific private interests.</w:t>
      </w:r>
    </w:p>
    <w:p w:rsidR="00A81D0E" w:rsidRPr="000A58B2" w:rsidRDefault="00CD02B0" w:rsidP="00A81D0E">
      <w:pPr>
        <w:spacing w:before="100" w:beforeAutospacing="1" w:afterAutospacing="1"/>
        <w:rPr>
          <w:lang w:val="en-US"/>
        </w:rPr>
      </w:pPr>
      <w:r w:rsidRPr="000A58B2">
        <w:rPr>
          <w:lang w:val="en-US"/>
        </w:rPr>
        <w:t xml:space="preserve">To be appointed </w:t>
      </w:r>
      <w:r w:rsidR="00EF0218">
        <w:rPr>
          <w:lang w:val="en-US"/>
        </w:rPr>
        <w:t xml:space="preserve">as </w:t>
      </w:r>
      <w:r w:rsidRPr="000A58B2">
        <w:rPr>
          <w:lang w:val="en-US"/>
        </w:rPr>
        <w:t>director, candidates must be Peruvian citizens, be in full exercise of their civic rights, be recognized for their moral solvency and adequacy</w:t>
      </w:r>
      <w:r w:rsidR="00EB6E97">
        <w:rPr>
          <w:lang w:val="en-US"/>
        </w:rPr>
        <w:t>,</w:t>
      </w:r>
      <w:r w:rsidRPr="000A58B2">
        <w:rPr>
          <w:lang w:val="en-US"/>
        </w:rPr>
        <w:t xml:space="preserve"> and </w:t>
      </w:r>
      <w:r w:rsidR="00EB6E97">
        <w:rPr>
          <w:lang w:val="en-US"/>
        </w:rPr>
        <w:t xml:space="preserve">have </w:t>
      </w:r>
      <w:r w:rsidR="00B43FE4" w:rsidRPr="000A58B2">
        <w:rPr>
          <w:lang w:val="en-US"/>
        </w:rPr>
        <w:t>k</w:t>
      </w:r>
      <w:r w:rsidR="00EB6E97">
        <w:rPr>
          <w:lang w:val="en-US"/>
        </w:rPr>
        <w:t>nowledge</w:t>
      </w:r>
      <w:r w:rsidR="00445196">
        <w:rPr>
          <w:lang w:val="en-US"/>
        </w:rPr>
        <w:t xml:space="preserve"> </w:t>
      </w:r>
      <w:r w:rsidR="00EB6E97">
        <w:rPr>
          <w:lang w:val="en-US"/>
        </w:rPr>
        <w:t>and</w:t>
      </w:r>
      <w:r w:rsidR="00445196">
        <w:rPr>
          <w:lang w:val="en-US"/>
        </w:rPr>
        <w:t xml:space="preserve"> </w:t>
      </w:r>
      <w:r w:rsidR="00EB6E97">
        <w:rPr>
          <w:lang w:val="en-US"/>
        </w:rPr>
        <w:t>experience</w:t>
      </w:r>
      <w:r w:rsidR="00445196">
        <w:rPr>
          <w:lang w:val="en-US"/>
        </w:rPr>
        <w:t xml:space="preserve"> </w:t>
      </w:r>
      <w:r w:rsidR="00EB6E97">
        <w:rPr>
          <w:lang w:val="en-US"/>
        </w:rPr>
        <w:t>in</w:t>
      </w:r>
      <w:r w:rsidRPr="000A58B2">
        <w:rPr>
          <w:lang w:val="en-US"/>
        </w:rPr>
        <w:t xml:space="preserve"> economic, financial and securities market issues. </w:t>
      </w:r>
    </w:p>
    <w:p w:rsidR="00A81D0E" w:rsidRPr="000A58B2" w:rsidRDefault="00CD02B0" w:rsidP="00A81D0E">
      <w:pPr>
        <w:spacing w:before="100" w:beforeAutospacing="1" w:afterAutospacing="1"/>
        <w:rPr>
          <w:lang w:val="en-US"/>
        </w:rPr>
      </w:pPr>
      <w:r w:rsidRPr="000A58B2">
        <w:rPr>
          <w:lang w:val="en-US"/>
        </w:rPr>
        <w:t xml:space="preserve">The members of the board will stay in their position for a period of six years, which may not </w:t>
      </w:r>
      <w:r w:rsidR="00B43FE4" w:rsidRPr="000A58B2">
        <w:rPr>
          <w:lang w:val="en-US"/>
        </w:rPr>
        <w:t xml:space="preserve">be </w:t>
      </w:r>
      <w:r w:rsidRPr="000A58B2">
        <w:rPr>
          <w:lang w:val="en-US"/>
        </w:rPr>
        <w:t xml:space="preserve">renewed for </w:t>
      </w:r>
      <w:r w:rsidR="00482AEE">
        <w:rPr>
          <w:lang w:val="en-US"/>
        </w:rPr>
        <w:t>an</w:t>
      </w:r>
      <w:r w:rsidRPr="000A58B2">
        <w:rPr>
          <w:lang w:val="en-US"/>
        </w:rPr>
        <w:t xml:space="preserve"> immediate </w:t>
      </w:r>
      <w:r w:rsidR="00B43FE4" w:rsidRPr="000A58B2">
        <w:rPr>
          <w:lang w:val="en-US"/>
        </w:rPr>
        <w:t>successive</w:t>
      </w:r>
      <w:r w:rsidRPr="000A58B2">
        <w:rPr>
          <w:lang w:val="en-US"/>
        </w:rPr>
        <w:t xml:space="preserve"> period</w:t>
      </w:r>
      <w:r w:rsidR="00482AEE">
        <w:rPr>
          <w:lang w:val="en-US"/>
        </w:rPr>
        <w:t>,</w:t>
      </w:r>
      <w:r w:rsidRPr="000A58B2">
        <w:rPr>
          <w:lang w:val="en-US"/>
        </w:rPr>
        <w:t xml:space="preserve"> and will earn </w:t>
      </w:r>
      <w:proofErr w:type="gramStart"/>
      <w:r w:rsidRPr="000A58B2">
        <w:rPr>
          <w:lang w:val="en-US"/>
        </w:rPr>
        <w:t>a remuneration</w:t>
      </w:r>
      <w:proofErr w:type="gramEnd"/>
      <w:r w:rsidRPr="000A58B2">
        <w:rPr>
          <w:lang w:val="en-US"/>
        </w:rPr>
        <w:t xml:space="preserve"> for attending board sessions</w:t>
      </w:r>
      <w:r w:rsidR="00482AEE">
        <w:rPr>
          <w:lang w:val="en-US"/>
        </w:rPr>
        <w:t>;</w:t>
      </w:r>
      <w:r w:rsidRPr="000A58B2">
        <w:rPr>
          <w:lang w:val="en-US"/>
        </w:rPr>
        <w:t xml:space="preserve"> directors who end their mandate may continue in such position </w:t>
      </w:r>
      <w:r w:rsidR="00482AEE">
        <w:rPr>
          <w:lang w:val="en-US"/>
        </w:rPr>
        <w:t>until</w:t>
      </w:r>
      <w:r w:rsidRPr="000A58B2">
        <w:rPr>
          <w:lang w:val="en-US"/>
        </w:rPr>
        <w:t xml:space="preserve"> their </w:t>
      </w:r>
      <w:r w:rsidR="00B43FE4" w:rsidRPr="000A58B2">
        <w:rPr>
          <w:lang w:val="en-US"/>
        </w:rPr>
        <w:t>successor</w:t>
      </w:r>
      <w:r w:rsidRPr="000A58B2">
        <w:rPr>
          <w:lang w:val="en-US"/>
        </w:rPr>
        <w:t xml:space="preserve"> is appointed. If for any reason, a director </w:t>
      </w:r>
      <w:r w:rsidR="00482AEE">
        <w:rPr>
          <w:lang w:val="en-US"/>
        </w:rPr>
        <w:t>can</w:t>
      </w:r>
      <w:r w:rsidRPr="000A58B2">
        <w:rPr>
          <w:lang w:val="en-US"/>
        </w:rPr>
        <w:t>not complete the term for which he/</w:t>
      </w:r>
      <w:r w:rsidR="00B43FE4" w:rsidRPr="000A58B2">
        <w:rPr>
          <w:lang w:val="en-US"/>
        </w:rPr>
        <w:t>she</w:t>
      </w:r>
      <w:r w:rsidRPr="000A58B2">
        <w:rPr>
          <w:lang w:val="en-US"/>
        </w:rPr>
        <w:t xml:space="preserve"> was appointed, his/her replacement shall be appointed within sixty days after such </w:t>
      </w:r>
      <w:r w:rsidR="002B2E8F" w:rsidRPr="000A58B2">
        <w:rPr>
          <w:lang w:val="en-US"/>
        </w:rPr>
        <w:t>deadline, and will remain in</w:t>
      </w:r>
      <w:r w:rsidR="00482AEE">
        <w:rPr>
          <w:lang w:val="en-US"/>
        </w:rPr>
        <w:t xml:space="preserve"> t</w:t>
      </w:r>
      <w:r w:rsidR="002B2E8F" w:rsidRPr="000A58B2">
        <w:rPr>
          <w:lang w:val="en-US"/>
        </w:rPr>
        <w:t xml:space="preserve">his position until the end of his/her predecessor’s term. </w:t>
      </w:r>
    </w:p>
    <w:p w:rsidR="00A81D0E" w:rsidRPr="000A58B2" w:rsidRDefault="002B2E8F" w:rsidP="00A81D0E">
      <w:pPr>
        <w:spacing w:before="100" w:beforeAutospacing="1" w:afterAutospacing="1"/>
        <w:rPr>
          <w:lang w:val="en-US"/>
        </w:rPr>
      </w:pPr>
      <w:r w:rsidRPr="000A58B2">
        <w:rPr>
          <w:lang w:val="en-US"/>
        </w:rPr>
        <w:t xml:space="preserve">Removal of a board member may be </w:t>
      </w:r>
      <w:r w:rsidR="00B43FE4" w:rsidRPr="000A58B2">
        <w:rPr>
          <w:lang w:val="en-US"/>
        </w:rPr>
        <w:t>effected</w:t>
      </w:r>
      <w:r w:rsidRPr="000A58B2">
        <w:rPr>
          <w:lang w:val="en-US"/>
        </w:rPr>
        <w:t xml:space="preserve"> by the Executive Branch through Supreme Resolution signed by the Ministry of Economy and Finance under the following circumstances</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1. </w:t>
      </w:r>
      <w:r w:rsidR="002B2E8F" w:rsidRPr="000A58B2">
        <w:rPr>
          <w:lang w:val="en-US"/>
        </w:rPr>
        <w:t>When the board member has incur</w:t>
      </w:r>
      <w:r w:rsidR="00482AEE">
        <w:rPr>
          <w:lang w:val="en-US"/>
        </w:rPr>
        <w:t>red</w:t>
      </w:r>
      <w:r w:rsidR="002B2E8F" w:rsidRPr="000A58B2">
        <w:rPr>
          <w:lang w:val="en-US"/>
        </w:rPr>
        <w:t xml:space="preserve"> in a serious, proven and documented offense, in the exercise of his/her function, as </w:t>
      </w:r>
      <w:r w:rsidR="00482AEE">
        <w:rPr>
          <w:lang w:val="en-US"/>
        </w:rPr>
        <w:t>determined</w:t>
      </w:r>
      <w:r w:rsidR="002B2E8F" w:rsidRPr="000A58B2">
        <w:rPr>
          <w:lang w:val="en-US"/>
        </w:rPr>
        <w:t xml:space="preserve"> by the Minister of Economy and Finance</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2. </w:t>
      </w:r>
      <w:r w:rsidR="002B2E8F" w:rsidRPr="000A58B2">
        <w:rPr>
          <w:lang w:val="en-US"/>
        </w:rPr>
        <w:t xml:space="preserve">When a </w:t>
      </w:r>
      <w:r w:rsidR="00482AEE">
        <w:rPr>
          <w:lang w:val="en-US"/>
        </w:rPr>
        <w:t>definitive</w:t>
      </w:r>
      <w:r w:rsidR="002B2E8F" w:rsidRPr="000A58B2">
        <w:rPr>
          <w:lang w:val="en-US"/>
        </w:rPr>
        <w:t xml:space="preserve"> arrest warrant is issued against such director</w:t>
      </w:r>
      <w:r w:rsidRPr="000A58B2">
        <w:rPr>
          <w:lang w:val="en-US"/>
        </w:rPr>
        <w:t>.</w:t>
      </w:r>
    </w:p>
    <w:p w:rsidR="00A81D0E" w:rsidRPr="000A58B2" w:rsidRDefault="002B2E8F" w:rsidP="00A81D0E">
      <w:pPr>
        <w:spacing w:before="100" w:beforeAutospacing="1" w:afterAutospacing="1"/>
        <w:rPr>
          <w:lang w:val="en-US"/>
        </w:rPr>
      </w:pPr>
      <w:r w:rsidRPr="000A58B2">
        <w:rPr>
          <w:lang w:val="en-US"/>
        </w:rPr>
        <w:t xml:space="preserve">Serious offenses by a board member include </w:t>
      </w:r>
      <w:r w:rsidR="00482AEE">
        <w:rPr>
          <w:lang w:val="en-US"/>
        </w:rPr>
        <w:t xml:space="preserve">the </w:t>
      </w:r>
      <w:r w:rsidRPr="000A58B2">
        <w:rPr>
          <w:lang w:val="en-US"/>
        </w:rPr>
        <w:t xml:space="preserve">impediments and prohibitions </w:t>
      </w:r>
      <w:r w:rsidR="00482AEE">
        <w:rPr>
          <w:lang w:val="en-US"/>
        </w:rPr>
        <w:t>described</w:t>
      </w:r>
      <w:r w:rsidR="00445196">
        <w:rPr>
          <w:lang w:val="en-US"/>
        </w:rPr>
        <w:t xml:space="preserve"> </w:t>
      </w:r>
      <w:r w:rsidR="00482AEE">
        <w:rPr>
          <w:lang w:val="en-US"/>
        </w:rPr>
        <w:t>in</w:t>
      </w:r>
      <w:r w:rsidRPr="000A58B2">
        <w:rPr>
          <w:lang w:val="en-US"/>
        </w:rPr>
        <w:t xml:space="preserve"> articles</w:t>
      </w:r>
      <w:r w:rsidR="00A81D0E" w:rsidRPr="000A58B2">
        <w:rPr>
          <w:lang w:val="en-US"/>
        </w:rPr>
        <w:t xml:space="preserve"> 6 </w:t>
      </w:r>
      <w:r w:rsidRPr="000A58B2">
        <w:rPr>
          <w:lang w:val="en-US"/>
        </w:rPr>
        <w:t>and</w:t>
      </w:r>
      <w:r w:rsidR="00A81D0E" w:rsidRPr="000A58B2">
        <w:rPr>
          <w:lang w:val="en-US"/>
        </w:rPr>
        <w:t xml:space="preserve"> 8.</w:t>
      </w:r>
    </w:p>
    <w:p w:rsidR="00A81D0E" w:rsidRPr="000A58B2" w:rsidRDefault="002B2E8F" w:rsidP="00A81D0E">
      <w:pPr>
        <w:spacing w:before="100" w:beforeAutospacing="1" w:afterAutospacing="1"/>
        <w:rPr>
          <w:lang w:val="en-US"/>
        </w:rPr>
      </w:pPr>
      <w:r w:rsidRPr="000A58B2">
        <w:rPr>
          <w:lang w:val="en-US"/>
        </w:rPr>
        <w:t>The quorum for the sessions held by the</w:t>
      </w:r>
      <w:r w:rsidR="00A81D0E" w:rsidRPr="000A58B2">
        <w:rPr>
          <w:lang w:val="en-US"/>
        </w:rPr>
        <w:t xml:space="preserve"> S</w:t>
      </w:r>
      <w:r w:rsidR="00482AEE">
        <w:rPr>
          <w:lang w:val="en-US"/>
        </w:rPr>
        <w:t xml:space="preserve">MV </w:t>
      </w:r>
      <w:r w:rsidRPr="000A58B2">
        <w:rPr>
          <w:lang w:val="en-US"/>
        </w:rPr>
        <w:t xml:space="preserve">Board of </w:t>
      </w:r>
      <w:r w:rsidR="00B43FE4" w:rsidRPr="000A58B2">
        <w:rPr>
          <w:lang w:val="en-US"/>
        </w:rPr>
        <w:t>Directors</w:t>
      </w:r>
      <w:r w:rsidRPr="000A58B2">
        <w:rPr>
          <w:lang w:val="en-US"/>
        </w:rPr>
        <w:t xml:space="preserve"> is three members. The agreements will be adopted by the attending directors’ absolute majority</w:t>
      </w:r>
      <w:r w:rsidR="00A81D0E" w:rsidRPr="000A58B2">
        <w:rPr>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2B2E8F" w:rsidRPr="000A58B2">
        <w:rPr>
          <w:bCs/>
          <w:sz w:val="18"/>
          <w:szCs w:val="18"/>
          <w:lang w:val="en-US"/>
        </w:rPr>
        <w:t>Article replaced by</w:t>
      </w:r>
      <w:r w:rsidR="00445196">
        <w:rPr>
          <w:bCs/>
          <w:sz w:val="18"/>
          <w:szCs w:val="18"/>
          <w:lang w:val="en-US"/>
        </w:rPr>
        <w:t xml:space="preserve"> </w:t>
      </w:r>
      <w:hyperlink r:id="rId13" w:anchor="JD_L29782-A2" w:history="1">
        <w:r w:rsidR="00CD02B0" w:rsidRPr="000A58B2">
          <w:rPr>
            <w:bCs/>
            <w:sz w:val="18"/>
            <w:szCs w:val="18"/>
            <w:lang w:val="en-US"/>
          </w:rPr>
          <w:t>Article</w:t>
        </w:r>
        <w:r w:rsidRPr="000A58B2">
          <w:rPr>
            <w:bCs/>
            <w:sz w:val="18"/>
            <w:szCs w:val="18"/>
            <w:lang w:val="en-US"/>
          </w:rPr>
          <w:t xml:space="preserve"> 2 </w:t>
        </w:r>
        <w:r w:rsidR="002B2E8F" w:rsidRPr="000A58B2">
          <w:rPr>
            <w:bCs/>
            <w:sz w:val="18"/>
            <w:szCs w:val="18"/>
            <w:lang w:val="en-US"/>
          </w:rPr>
          <w:t>under Law</w:t>
        </w:r>
        <w:r w:rsidRPr="000A58B2">
          <w:rPr>
            <w:bCs/>
            <w:sz w:val="18"/>
            <w:szCs w:val="18"/>
            <w:lang w:val="en-US"/>
          </w:rPr>
          <w:t xml:space="preserve"> Nº 29782</w:t>
        </w:r>
      </w:hyperlink>
      <w:r w:rsidRPr="000A58B2">
        <w:rPr>
          <w:bCs/>
          <w:sz w:val="18"/>
          <w:szCs w:val="18"/>
          <w:lang w:val="en-US"/>
        </w:rPr>
        <w:t>.</w:t>
      </w:r>
    </w:p>
    <w:p w:rsidR="00A81D0E" w:rsidRPr="000A58B2" w:rsidRDefault="00CD02B0" w:rsidP="00A81D0E">
      <w:pPr>
        <w:spacing w:before="100" w:beforeAutospacing="1" w:afterAutospacing="1"/>
        <w:rPr>
          <w:lang w:val="en-US"/>
        </w:rPr>
      </w:pPr>
      <w:r w:rsidRPr="000A58B2">
        <w:rPr>
          <w:b/>
          <w:bCs/>
          <w:lang w:val="en-US"/>
        </w:rPr>
        <w:lastRenderedPageBreak/>
        <w:t>Article</w:t>
      </w:r>
      <w:r w:rsidR="00A81D0E" w:rsidRPr="000A58B2">
        <w:rPr>
          <w:b/>
          <w:bCs/>
          <w:lang w:val="en-US"/>
        </w:rPr>
        <w:t xml:space="preserve"> 5. </w:t>
      </w:r>
      <w:r w:rsidR="002B2E8F" w:rsidRPr="000A58B2">
        <w:rPr>
          <w:b/>
          <w:bCs/>
          <w:lang w:val="en-US"/>
        </w:rPr>
        <w:t xml:space="preserve">Attributions </w:t>
      </w:r>
      <w:r w:rsidR="00482AEE">
        <w:rPr>
          <w:b/>
          <w:bCs/>
          <w:lang w:val="en-US"/>
        </w:rPr>
        <w:t>of</w:t>
      </w:r>
      <w:r w:rsidR="002B2E8F" w:rsidRPr="000A58B2">
        <w:rPr>
          <w:b/>
          <w:bCs/>
          <w:lang w:val="en-US"/>
        </w:rPr>
        <w:t xml:space="preserve"> the</w:t>
      </w:r>
      <w:r w:rsidR="00A81D0E" w:rsidRPr="000A58B2">
        <w:rPr>
          <w:b/>
          <w:bCs/>
          <w:lang w:val="en-US"/>
        </w:rPr>
        <w:t xml:space="preserve"> </w:t>
      </w:r>
      <w:r w:rsidR="00445196">
        <w:rPr>
          <w:b/>
          <w:bCs/>
          <w:lang w:val="en-US"/>
        </w:rPr>
        <w:t>Superintendence of Securities Market (</w:t>
      </w:r>
      <w:r w:rsidR="00A81D0E" w:rsidRPr="000A58B2">
        <w:rPr>
          <w:b/>
          <w:bCs/>
          <w:lang w:val="en-US"/>
        </w:rPr>
        <w:t>SMV</w:t>
      </w:r>
      <w:r w:rsidR="00445196">
        <w:rPr>
          <w:b/>
          <w:bCs/>
          <w:lang w:val="en-US"/>
        </w:rPr>
        <w:t>)</w:t>
      </w:r>
      <w:r w:rsidR="00B32D9D">
        <w:rPr>
          <w:b/>
          <w:bCs/>
          <w:lang w:val="en-US"/>
        </w:rPr>
        <w:t xml:space="preserve"> </w:t>
      </w:r>
      <w:r w:rsidR="002B2E8F" w:rsidRPr="000A58B2">
        <w:rPr>
          <w:b/>
          <w:bCs/>
          <w:lang w:val="en-US"/>
        </w:rPr>
        <w:t>Board of Directors</w:t>
      </w:r>
      <w:r w:rsidR="00A81D0E" w:rsidRPr="000A58B2">
        <w:rPr>
          <w:bCs/>
          <w:lang w:val="en-US"/>
        </w:rPr>
        <w:t>(*)</w:t>
      </w:r>
    </w:p>
    <w:p w:rsidR="00A81D0E" w:rsidRPr="000A58B2" w:rsidRDefault="002B2E8F" w:rsidP="00A81D0E">
      <w:pPr>
        <w:spacing w:before="100" w:beforeAutospacing="1" w:afterAutospacing="1"/>
        <w:rPr>
          <w:lang w:val="en-US"/>
        </w:rPr>
      </w:pPr>
      <w:r w:rsidRPr="000A58B2">
        <w:rPr>
          <w:lang w:val="en-US"/>
        </w:rPr>
        <w:t xml:space="preserve">The </w:t>
      </w:r>
      <w:r w:rsidR="00482AEE">
        <w:rPr>
          <w:lang w:val="en-US"/>
        </w:rPr>
        <w:t xml:space="preserve">SMV’s </w:t>
      </w:r>
      <w:r w:rsidRPr="000A58B2">
        <w:rPr>
          <w:lang w:val="en-US"/>
        </w:rPr>
        <w:t xml:space="preserve">Board of Directors will </w:t>
      </w:r>
      <w:r w:rsidR="00482AEE">
        <w:rPr>
          <w:lang w:val="en-US"/>
        </w:rPr>
        <w:t>enjoy</w:t>
      </w:r>
      <w:r w:rsidRPr="000A58B2">
        <w:rPr>
          <w:lang w:val="en-US"/>
        </w:rPr>
        <w:t xml:space="preserve"> the following attributions</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a) </w:t>
      </w:r>
      <w:r w:rsidR="002B2E8F" w:rsidRPr="000A58B2">
        <w:rPr>
          <w:lang w:val="en-US"/>
        </w:rPr>
        <w:t>Approve institutional policies and objectives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b) </w:t>
      </w:r>
      <w:r w:rsidR="002B2E8F" w:rsidRPr="000A58B2">
        <w:rPr>
          <w:lang w:val="en-US"/>
        </w:rPr>
        <w:t xml:space="preserve">Approve the regulations governing the securities market, products and the collective funds system, as well as any other governing natural and juridical persons under </w:t>
      </w:r>
      <w:r w:rsidR="00482AEE">
        <w:rPr>
          <w:lang w:val="en-US"/>
        </w:rPr>
        <w:t>SMV’s</w:t>
      </w:r>
      <w:r w:rsidR="002B2E8F" w:rsidRPr="000A58B2">
        <w:rPr>
          <w:lang w:val="en-US"/>
        </w:rPr>
        <w:t xml:space="preserve"> oversight</w:t>
      </w:r>
      <w:r w:rsidRPr="000A58B2">
        <w:rPr>
          <w:lang w:val="en-US"/>
        </w:rPr>
        <w:t xml:space="preserve">. </w:t>
      </w:r>
      <w:r w:rsidR="002B2E8F" w:rsidRPr="000A58B2">
        <w:rPr>
          <w:lang w:val="en-US"/>
        </w:rPr>
        <w:t>In addition, it will interpret legal provisions governing natural and juridical persons under its oversight in administrative procedures, subject to legal provisions and general legal principles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c) </w:t>
      </w:r>
      <w:r w:rsidR="002B2E8F" w:rsidRPr="000A58B2">
        <w:rPr>
          <w:lang w:val="en-US"/>
        </w:rPr>
        <w:t>Issue provisions to draft and submit individual and consolidate</w:t>
      </w:r>
      <w:r w:rsidR="00482AEE">
        <w:rPr>
          <w:lang w:val="en-US"/>
        </w:rPr>
        <w:t>d</w:t>
      </w:r>
      <w:r w:rsidR="002B2E8F" w:rsidRPr="000A58B2">
        <w:rPr>
          <w:lang w:val="en-US"/>
        </w:rPr>
        <w:t xml:space="preserve"> financial statements and any other complementary information, tak</w:t>
      </w:r>
      <w:r w:rsidR="00482AEE">
        <w:rPr>
          <w:lang w:val="en-US"/>
        </w:rPr>
        <w:t>ing</w:t>
      </w:r>
      <w:r w:rsidR="002B2E8F" w:rsidRPr="000A58B2">
        <w:rPr>
          <w:lang w:val="en-US"/>
        </w:rPr>
        <w:t xml:space="preserve"> care </w:t>
      </w:r>
      <w:r w:rsidR="00B43FE4" w:rsidRPr="000A58B2">
        <w:rPr>
          <w:lang w:val="en-US"/>
        </w:rPr>
        <w:t>they</w:t>
      </w:r>
      <w:r w:rsidR="002B2E8F" w:rsidRPr="000A58B2">
        <w:rPr>
          <w:lang w:val="en-US"/>
        </w:rPr>
        <w:t xml:space="preserve"> reasonably reflect the financial condition, bottom line and cash flows of companies and entities under its supervision, in compliance with </w:t>
      </w:r>
      <w:r w:rsidR="00482AEE" w:rsidRPr="000A58B2">
        <w:rPr>
          <w:lang w:val="en-US"/>
        </w:rPr>
        <w:t xml:space="preserve">International Financial </w:t>
      </w:r>
      <w:r w:rsidR="00482AEE">
        <w:rPr>
          <w:lang w:val="en-US"/>
        </w:rPr>
        <w:t>Reporting</w:t>
      </w:r>
      <w:r w:rsidR="00482AEE" w:rsidRPr="000A58B2">
        <w:rPr>
          <w:lang w:val="en-US"/>
        </w:rPr>
        <w:t xml:space="preserve"> Standards</w:t>
      </w:r>
      <w:r w:rsidR="00AB39C1">
        <w:rPr>
          <w:lang w:val="en-US"/>
        </w:rPr>
        <w:t xml:space="preserve"> </w:t>
      </w:r>
      <w:r w:rsidRPr="000A58B2">
        <w:rPr>
          <w:lang w:val="en-US"/>
        </w:rPr>
        <w:t>(</w:t>
      </w:r>
      <w:r w:rsidR="00482AEE">
        <w:rPr>
          <w:lang w:val="en-US"/>
        </w:rPr>
        <w:t>IFRS</w:t>
      </w:r>
      <w:r w:rsidRPr="000A58B2">
        <w:rPr>
          <w:lang w:val="en-US"/>
        </w:rPr>
        <w:t xml:space="preserve">) </w:t>
      </w:r>
      <w:r w:rsidR="002B2E8F" w:rsidRPr="000A58B2">
        <w:rPr>
          <w:lang w:val="en-US"/>
        </w:rPr>
        <w:t>and to ensure appropriate compliance with such. This provision does not</w:t>
      </w:r>
      <w:r w:rsidR="00482AEE">
        <w:rPr>
          <w:lang w:val="en-US"/>
        </w:rPr>
        <w:t xml:space="preserve"> include</w:t>
      </w:r>
      <w:r w:rsidR="002B2E8F" w:rsidRPr="000A58B2">
        <w:rPr>
          <w:lang w:val="en-US"/>
        </w:rPr>
        <w:t xml:space="preserve"> entities participating in the securities market </w:t>
      </w:r>
      <w:r w:rsidR="00482AEE">
        <w:rPr>
          <w:lang w:val="en-US"/>
        </w:rPr>
        <w:t>within the jurisdiction</w:t>
      </w:r>
      <w:r w:rsidR="002B2E8F" w:rsidRPr="000A58B2">
        <w:rPr>
          <w:lang w:val="en-US"/>
        </w:rPr>
        <w:t xml:space="preserve"> of the </w:t>
      </w:r>
      <w:r w:rsidRPr="000A58B2">
        <w:rPr>
          <w:lang w:val="en-US"/>
        </w:rPr>
        <w:t>Superintendenc</w:t>
      </w:r>
      <w:r w:rsidR="00F114AB">
        <w:rPr>
          <w:lang w:val="en-US"/>
        </w:rPr>
        <w:t xml:space="preserve">e of Banking, Insurance and Private Pension Funds Management Companies </w:t>
      </w:r>
      <w:r w:rsidRPr="000A58B2">
        <w:rPr>
          <w:lang w:val="en-US"/>
        </w:rPr>
        <w:t>(SBS).</w:t>
      </w:r>
    </w:p>
    <w:p w:rsidR="00A81D0E" w:rsidRPr="000A58B2" w:rsidRDefault="00A81D0E" w:rsidP="00A81D0E">
      <w:pPr>
        <w:spacing w:before="100" w:beforeAutospacing="1" w:afterAutospacing="1"/>
        <w:rPr>
          <w:lang w:val="en-US"/>
        </w:rPr>
      </w:pPr>
      <w:r w:rsidRPr="000A58B2">
        <w:rPr>
          <w:lang w:val="en-US"/>
        </w:rPr>
        <w:t xml:space="preserve">d) </w:t>
      </w:r>
      <w:r w:rsidR="002B2E8F" w:rsidRPr="000A58B2">
        <w:rPr>
          <w:lang w:val="en-US"/>
        </w:rPr>
        <w:t xml:space="preserve">Define </w:t>
      </w:r>
      <w:r w:rsidR="004279B0" w:rsidRPr="000A58B2">
        <w:rPr>
          <w:lang w:val="en-US"/>
        </w:rPr>
        <w:t>violations incurred by players in the</w:t>
      </w:r>
      <w:r w:rsidR="002B2E8F" w:rsidRPr="000A58B2">
        <w:rPr>
          <w:lang w:val="en-US"/>
        </w:rPr>
        <w:t xml:space="preserve"> securities market, product markets, </w:t>
      </w:r>
      <w:proofErr w:type="gramStart"/>
      <w:r w:rsidR="002B2E8F" w:rsidRPr="000A58B2">
        <w:rPr>
          <w:lang w:val="en-US"/>
        </w:rPr>
        <w:t>collective</w:t>
      </w:r>
      <w:proofErr w:type="gramEnd"/>
      <w:r w:rsidR="002B2E8F" w:rsidRPr="000A58B2">
        <w:rPr>
          <w:lang w:val="en-US"/>
        </w:rPr>
        <w:t xml:space="preserve"> fund systems and </w:t>
      </w:r>
      <w:r w:rsidR="004279B0" w:rsidRPr="000A58B2">
        <w:rPr>
          <w:lang w:val="en-US"/>
        </w:rPr>
        <w:t xml:space="preserve">in </w:t>
      </w:r>
      <w:r w:rsidR="002B2E8F" w:rsidRPr="000A58B2">
        <w:rPr>
          <w:lang w:val="en-US"/>
        </w:rPr>
        <w:t xml:space="preserve">other </w:t>
      </w:r>
      <w:r w:rsidR="004279B0" w:rsidRPr="000A58B2">
        <w:rPr>
          <w:lang w:val="en-US"/>
        </w:rPr>
        <w:t xml:space="preserve">fields within its competency, with due compliance with provisions </w:t>
      </w:r>
      <w:r w:rsidR="00482AEE">
        <w:rPr>
          <w:lang w:val="en-US"/>
        </w:rPr>
        <w:t xml:space="preserve">included </w:t>
      </w:r>
      <w:r w:rsidR="004279B0" w:rsidRPr="000A58B2">
        <w:rPr>
          <w:lang w:val="en-US"/>
        </w:rPr>
        <w:t xml:space="preserve">in articles </w:t>
      </w:r>
      <w:r w:rsidRPr="000A58B2">
        <w:rPr>
          <w:lang w:val="en-US"/>
        </w:rPr>
        <w:t xml:space="preserve">343, 349, 350 </w:t>
      </w:r>
      <w:r w:rsidR="004279B0" w:rsidRPr="000A58B2">
        <w:rPr>
          <w:lang w:val="en-US"/>
        </w:rPr>
        <w:t xml:space="preserve">and </w:t>
      </w:r>
      <w:r w:rsidRPr="000A58B2">
        <w:rPr>
          <w:lang w:val="en-US"/>
        </w:rPr>
        <w:t xml:space="preserve">351 </w:t>
      </w:r>
      <w:r w:rsidR="004279B0" w:rsidRPr="000A58B2">
        <w:rPr>
          <w:lang w:val="en-US"/>
        </w:rPr>
        <w:t>of Legislative Decree</w:t>
      </w:r>
      <w:r w:rsidRPr="000A58B2">
        <w:rPr>
          <w:lang w:val="en-US"/>
        </w:rPr>
        <w:t xml:space="preserve"> 861, </w:t>
      </w:r>
      <w:r w:rsidR="00482AEE">
        <w:rPr>
          <w:lang w:val="en-US"/>
        </w:rPr>
        <w:t>the</w:t>
      </w:r>
      <w:r w:rsidR="004279B0" w:rsidRPr="000A58B2">
        <w:rPr>
          <w:lang w:val="en-US"/>
        </w:rPr>
        <w:t xml:space="preserve"> Securities Market Law</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e) </w:t>
      </w:r>
      <w:r w:rsidR="004279B0" w:rsidRPr="000A58B2">
        <w:rPr>
          <w:lang w:val="en-US"/>
        </w:rPr>
        <w:t xml:space="preserve">Propose, through the Ministry of Economy and Finance, draft laws on issues within its institutional domain. </w:t>
      </w:r>
    </w:p>
    <w:p w:rsidR="00A81D0E" w:rsidRPr="000A58B2" w:rsidRDefault="00A81D0E" w:rsidP="00A81D0E">
      <w:pPr>
        <w:spacing w:before="100" w:beforeAutospacing="1" w:afterAutospacing="1"/>
        <w:rPr>
          <w:lang w:val="en-US"/>
        </w:rPr>
      </w:pPr>
      <w:r w:rsidRPr="000A58B2">
        <w:rPr>
          <w:lang w:val="en-US"/>
        </w:rPr>
        <w:t xml:space="preserve">f) </w:t>
      </w:r>
      <w:r w:rsidR="00482AEE">
        <w:rPr>
          <w:lang w:val="en-US"/>
        </w:rPr>
        <w:t>D</w:t>
      </w:r>
      <w:r w:rsidR="004279B0" w:rsidRPr="000A58B2">
        <w:rPr>
          <w:lang w:val="en-US"/>
        </w:rPr>
        <w:t>etermine the fees and levies aimed at financing</w:t>
      </w:r>
      <w:r w:rsidRPr="000A58B2">
        <w:rPr>
          <w:lang w:val="en-US"/>
        </w:rPr>
        <w:t xml:space="preserve"> S</w:t>
      </w:r>
      <w:r w:rsidR="00482AEE">
        <w:rPr>
          <w:lang w:val="en-US"/>
        </w:rPr>
        <w:t>MV’s</w:t>
      </w:r>
      <w:r w:rsidR="004279B0" w:rsidRPr="000A58B2">
        <w:rPr>
          <w:lang w:val="en-US"/>
        </w:rPr>
        <w:t xml:space="preserve"> operations, in conformance with provisions in article 18, as well as the way</w:t>
      </w:r>
      <w:r w:rsidRPr="000A58B2">
        <w:rPr>
          <w:lang w:val="en-US"/>
        </w:rPr>
        <w:t>,</w:t>
      </w:r>
      <w:r w:rsidR="004279B0" w:rsidRPr="000A58B2">
        <w:rPr>
          <w:lang w:val="en-US"/>
        </w:rPr>
        <w:t xml:space="preserve"> place and time for complying with such obligations.</w:t>
      </w:r>
    </w:p>
    <w:p w:rsidR="00A81D0E" w:rsidRPr="000A58B2" w:rsidRDefault="00A81D0E" w:rsidP="00A81D0E">
      <w:pPr>
        <w:spacing w:before="100" w:beforeAutospacing="1" w:afterAutospacing="1"/>
        <w:rPr>
          <w:lang w:val="en-US"/>
        </w:rPr>
      </w:pPr>
      <w:r w:rsidRPr="000A58B2">
        <w:rPr>
          <w:lang w:val="en-US"/>
        </w:rPr>
        <w:t xml:space="preserve">g) </w:t>
      </w:r>
      <w:r w:rsidR="004279B0" w:rsidRPr="000A58B2">
        <w:rPr>
          <w:lang w:val="en-US"/>
        </w:rPr>
        <w:t>Approve</w:t>
      </w:r>
      <w:r w:rsidRPr="000A58B2">
        <w:rPr>
          <w:lang w:val="en-US"/>
        </w:rPr>
        <w:t xml:space="preserve"> </w:t>
      </w:r>
      <w:r w:rsidR="00F114AB">
        <w:rPr>
          <w:lang w:val="en-US"/>
        </w:rPr>
        <w:t xml:space="preserve">the </w:t>
      </w:r>
      <w:r w:rsidRPr="000A58B2">
        <w:rPr>
          <w:lang w:val="en-US"/>
        </w:rPr>
        <w:t>S</w:t>
      </w:r>
      <w:r w:rsidR="00482AEE">
        <w:rPr>
          <w:lang w:val="en-US"/>
        </w:rPr>
        <w:t xml:space="preserve">MV’s </w:t>
      </w:r>
      <w:r w:rsidR="004279B0" w:rsidRPr="000A58B2">
        <w:rPr>
          <w:lang w:val="en-US"/>
        </w:rPr>
        <w:t>annual budget, as expanded and amended</w:t>
      </w:r>
      <w:r w:rsidR="00482AEE">
        <w:rPr>
          <w:lang w:val="en-US"/>
        </w:rPr>
        <w:t>,</w:t>
      </w:r>
      <w:r w:rsidR="004279B0" w:rsidRPr="000A58B2">
        <w:rPr>
          <w:lang w:val="en-US"/>
        </w:rPr>
        <w:t xml:space="preserve"> and to ensure </w:t>
      </w:r>
      <w:r w:rsidR="00482AEE">
        <w:rPr>
          <w:lang w:val="en-US"/>
        </w:rPr>
        <w:t xml:space="preserve">its </w:t>
      </w:r>
      <w:r w:rsidR="004279B0" w:rsidRPr="000A58B2">
        <w:rPr>
          <w:lang w:val="en-US"/>
        </w:rPr>
        <w:t xml:space="preserve">proper execution. </w:t>
      </w:r>
    </w:p>
    <w:p w:rsidR="00A81D0E" w:rsidRPr="000A58B2" w:rsidRDefault="00A81D0E" w:rsidP="00A81D0E">
      <w:pPr>
        <w:spacing w:before="100" w:beforeAutospacing="1" w:afterAutospacing="1"/>
        <w:rPr>
          <w:lang w:val="en-US"/>
        </w:rPr>
      </w:pPr>
      <w:r w:rsidRPr="000A58B2">
        <w:rPr>
          <w:lang w:val="en-US"/>
        </w:rPr>
        <w:t xml:space="preserve">h) </w:t>
      </w:r>
      <w:r w:rsidR="004279B0" w:rsidRPr="000A58B2">
        <w:rPr>
          <w:lang w:val="en-US"/>
        </w:rPr>
        <w:t xml:space="preserve">Approve the </w:t>
      </w:r>
      <w:r w:rsidRPr="000A58B2">
        <w:rPr>
          <w:lang w:val="en-US"/>
        </w:rPr>
        <w:t>S</w:t>
      </w:r>
      <w:r w:rsidR="00482AEE">
        <w:rPr>
          <w:lang w:val="en-US"/>
        </w:rPr>
        <w:t>MV’s</w:t>
      </w:r>
      <w:r w:rsidR="004279B0" w:rsidRPr="000A58B2">
        <w:rPr>
          <w:lang w:val="en-US"/>
        </w:rPr>
        <w:t xml:space="preserve"> financial statements and annual report</w:t>
      </w:r>
      <w:r w:rsidRPr="000A58B2">
        <w:rPr>
          <w:lang w:val="en-US"/>
        </w:rPr>
        <w:t>.</w:t>
      </w:r>
    </w:p>
    <w:p w:rsidR="00A81D0E" w:rsidRPr="000A58B2" w:rsidRDefault="00A81D0E" w:rsidP="00A81D0E">
      <w:pPr>
        <w:spacing w:before="100" w:beforeAutospacing="1" w:afterAutospacing="1"/>
        <w:rPr>
          <w:lang w:val="en-US"/>
        </w:rPr>
      </w:pPr>
      <w:proofErr w:type="spellStart"/>
      <w:r w:rsidRPr="000A58B2">
        <w:rPr>
          <w:lang w:val="en-US"/>
        </w:rPr>
        <w:t>i</w:t>
      </w:r>
      <w:proofErr w:type="spellEnd"/>
      <w:r w:rsidRPr="000A58B2">
        <w:rPr>
          <w:lang w:val="en-US"/>
        </w:rPr>
        <w:t xml:space="preserve">) </w:t>
      </w:r>
      <w:r w:rsidR="004279B0" w:rsidRPr="000A58B2">
        <w:rPr>
          <w:lang w:val="en-US"/>
        </w:rPr>
        <w:t xml:space="preserve">Decide on the opening of </w:t>
      </w:r>
      <w:r w:rsidR="00482AEE">
        <w:rPr>
          <w:lang w:val="en-US"/>
        </w:rPr>
        <w:t xml:space="preserve">SMV’s offices as established in </w:t>
      </w:r>
      <w:r w:rsidR="00CD02B0" w:rsidRPr="000A58B2">
        <w:rPr>
          <w:lang w:val="en-US"/>
        </w:rPr>
        <w:t>article</w:t>
      </w:r>
      <w:r w:rsidRPr="000A58B2">
        <w:rPr>
          <w:lang w:val="en-US"/>
        </w:rPr>
        <w:t xml:space="preserve"> 1.</w:t>
      </w:r>
    </w:p>
    <w:p w:rsidR="00A81D0E" w:rsidRPr="000A58B2" w:rsidRDefault="00A81D0E" w:rsidP="00A81D0E">
      <w:pPr>
        <w:spacing w:before="100" w:beforeAutospacing="1" w:afterAutospacing="1"/>
        <w:rPr>
          <w:lang w:val="en-US"/>
        </w:rPr>
      </w:pPr>
      <w:r w:rsidRPr="000A58B2">
        <w:rPr>
          <w:lang w:val="en-US"/>
        </w:rPr>
        <w:t xml:space="preserve">j) </w:t>
      </w:r>
      <w:r w:rsidR="004279B0" w:rsidRPr="000A58B2">
        <w:rPr>
          <w:lang w:val="en-US"/>
        </w:rPr>
        <w:t>Determine the procedures for SMV sessions</w:t>
      </w:r>
      <w:r w:rsidRPr="000A58B2">
        <w:rPr>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CD02B0" w:rsidRPr="000A58B2">
        <w:rPr>
          <w:bCs/>
          <w:sz w:val="18"/>
          <w:szCs w:val="18"/>
          <w:lang w:val="en-US"/>
        </w:rPr>
        <w:t>Article</w:t>
      </w:r>
      <w:r w:rsidR="00F114AB">
        <w:rPr>
          <w:bCs/>
          <w:sz w:val="18"/>
          <w:szCs w:val="18"/>
          <w:lang w:val="en-US"/>
        </w:rPr>
        <w:t xml:space="preserve"> </w:t>
      </w:r>
      <w:r w:rsidR="004279B0" w:rsidRPr="000A58B2">
        <w:rPr>
          <w:bCs/>
          <w:sz w:val="18"/>
          <w:szCs w:val="18"/>
          <w:lang w:val="en-US"/>
        </w:rPr>
        <w:t xml:space="preserve">replaced by </w:t>
      </w:r>
      <w:hyperlink r:id="rId14" w:anchor="JD_L29782-A2" w:history="1">
        <w:r w:rsidR="00CD02B0" w:rsidRPr="000A58B2">
          <w:rPr>
            <w:bCs/>
            <w:sz w:val="18"/>
            <w:szCs w:val="18"/>
            <w:lang w:val="en-US"/>
          </w:rPr>
          <w:t>Article</w:t>
        </w:r>
        <w:r w:rsidRPr="000A58B2">
          <w:rPr>
            <w:bCs/>
            <w:sz w:val="18"/>
            <w:szCs w:val="18"/>
            <w:lang w:val="en-US"/>
          </w:rPr>
          <w:t xml:space="preserve"> 2 </w:t>
        </w:r>
        <w:r w:rsidR="004279B0" w:rsidRPr="000A58B2">
          <w:rPr>
            <w:bCs/>
            <w:sz w:val="18"/>
            <w:szCs w:val="18"/>
            <w:lang w:val="en-US"/>
          </w:rPr>
          <w:t xml:space="preserve">under Law </w:t>
        </w:r>
        <w:r w:rsidRPr="000A58B2">
          <w:rPr>
            <w:bCs/>
            <w:sz w:val="18"/>
            <w:szCs w:val="18"/>
            <w:lang w:val="en-US"/>
          </w:rPr>
          <w:t>Nº 29782</w:t>
        </w:r>
      </w:hyperlink>
      <w:r w:rsidRPr="000A58B2">
        <w:rPr>
          <w:bCs/>
          <w:sz w:val="18"/>
          <w:szCs w:val="18"/>
          <w:lang w:val="en-US"/>
        </w:rPr>
        <w:t>.</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6. </w:t>
      </w:r>
      <w:r w:rsidR="003D03F3">
        <w:rPr>
          <w:b/>
          <w:bCs/>
          <w:lang w:val="en-US"/>
        </w:rPr>
        <w:t>Impediments to be appointed as Superintende</w:t>
      </w:r>
      <w:r w:rsidR="004279B0" w:rsidRPr="000A58B2">
        <w:rPr>
          <w:b/>
          <w:bCs/>
          <w:lang w:val="en-US"/>
        </w:rPr>
        <w:t>nt and Member of Board of Directors at the</w:t>
      </w:r>
      <w:r w:rsidR="00F114AB">
        <w:rPr>
          <w:b/>
          <w:bCs/>
          <w:lang w:val="en-US"/>
        </w:rPr>
        <w:t xml:space="preserve"> Superintendence of Securities Market (</w:t>
      </w:r>
      <w:r w:rsidR="003D03F3">
        <w:rPr>
          <w:b/>
          <w:bCs/>
          <w:lang w:val="en-US"/>
        </w:rPr>
        <w:t>SMV</w:t>
      </w:r>
      <w:r w:rsidR="00F114AB">
        <w:rPr>
          <w:b/>
          <w:bCs/>
          <w:lang w:val="en-US"/>
        </w:rPr>
        <w:t xml:space="preserve">) </w:t>
      </w:r>
      <w:r w:rsidR="00A81D0E" w:rsidRPr="000A58B2">
        <w:rPr>
          <w:bCs/>
          <w:lang w:val="en-US"/>
        </w:rPr>
        <w:t>(*)</w:t>
      </w:r>
    </w:p>
    <w:p w:rsidR="00A81D0E" w:rsidRPr="000A58B2" w:rsidRDefault="00362A2E" w:rsidP="00A81D0E">
      <w:pPr>
        <w:spacing w:before="100" w:beforeAutospacing="1" w:afterAutospacing="1"/>
        <w:rPr>
          <w:lang w:val="en-US"/>
        </w:rPr>
      </w:pPr>
      <w:r w:rsidRPr="000A58B2">
        <w:rPr>
          <w:lang w:val="en-US"/>
        </w:rPr>
        <w:t xml:space="preserve">The following impediments will prevent </w:t>
      </w:r>
      <w:r w:rsidR="00482AEE">
        <w:rPr>
          <w:lang w:val="en-US"/>
        </w:rPr>
        <w:t>the</w:t>
      </w:r>
      <w:r w:rsidRPr="000A58B2">
        <w:rPr>
          <w:lang w:val="en-US"/>
        </w:rPr>
        <w:t xml:space="preserve"> appointment as Superintendent or Member of the Board of Directors</w:t>
      </w:r>
      <w:r w:rsidR="00F114AB">
        <w:rPr>
          <w:lang w:val="en-US"/>
        </w:rPr>
        <w:t xml:space="preserve"> </w:t>
      </w:r>
      <w:r w:rsidRPr="000A58B2">
        <w:rPr>
          <w:lang w:val="en-US"/>
        </w:rPr>
        <w:t>of</w:t>
      </w:r>
      <w:r w:rsidR="00F114AB">
        <w:rPr>
          <w:lang w:val="en-US"/>
        </w:rPr>
        <w:t xml:space="preserve"> the </w:t>
      </w:r>
      <w:r w:rsidR="00482AEE">
        <w:rPr>
          <w:lang w:val="en-US"/>
        </w:rPr>
        <w:t>SMV</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a) </w:t>
      </w:r>
      <w:r w:rsidR="00362A2E" w:rsidRPr="000A58B2">
        <w:rPr>
          <w:lang w:val="en-US"/>
        </w:rPr>
        <w:t>Incompetency as defined by the Civil Code</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b) </w:t>
      </w:r>
      <w:r w:rsidR="00362A2E" w:rsidRPr="000A58B2">
        <w:rPr>
          <w:lang w:val="en-US"/>
        </w:rPr>
        <w:t xml:space="preserve">Direct or indirect </w:t>
      </w:r>
      <w:r w:rsidR="00482AEE">
        <w:rPr>
          <w:lang w:val="en-US"/>
        </w:rPr>
        <w:t>interest</w:t>
      </w:r>
      <w:r w:rsidR="00362A2E" w:rsidRPr="000A58B2">
        <w:rPr>
          <w:lang w:val="en-US"/>
        </w:rPr>
        <w:t xml:space="preserve"> in the capital of companies requiring an authorization to operate by </w:t>
      </w:r>
      <w:r w:rsidRPr="000A58B2">
        <w:rPr>
          <w:lang w:val="en-US"/>
        </w:rPr>
        <w:t>SMV,</w:t>
      </w:r>
      <w:r w:rsidR="00362A2E" w:rsidRPr="000A58B2">
        <w:rPr>
          <w:lang w:val="en-US"/>
        </w:rPr>
        <w:t xml:space="preserve"> or holding a direct or indirect share of property above five percent of a company issuing public offering securities or any other entity under SMV’s oversight, other than those authorized to operate by SMV</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c) </w:t>
      </w:r>
      <w:r w:rsidR="00362A2E" w:rsidRPr="000A58B2">
        <w:rPr>
          <w:lang w:val="en-US"/>
        </w:rPr>
        <w:t xml:space="preserve">Be a director, official, advisor, or employee at any entity subject to oversight </w:t>
      </w:r>
      <w:r w:rsidR="006E55CC">
        <w:rPr>
          <w:lang w:val="en-US"/>
        </w:rPr>
        <w:t>by</w:t>
      </w:r>
      <w:r w:rsidR="00482AEE">
        <w:rPr>
          <w:lang w:val="en-US"/>
        </w:rPr>
        <w:t xml:space="preserve"> the SMV</w:t>
      </w:r>
      <w:r w:rsidRPr="000A58B2">
        <w:rPr>
          <w:lang w:val="en-US"/>
        </w:rPr>
        <w:t xml:space="preserve">, </w:t>
      </w:r>
      <w:r w:rsidR="00362A2E" w:rsidRPr="000A58B2">
        <w:rPr>
          <w:lang w:val="en-US"/>
        </w:rPr>
        <w:t xml:space="preserve">including issuers of primary or secondary public offering securities. </w:t>
      </w:r>
    </w:p>
    <w:p w:rsidR="00A81D0E" w:rsidRPr="000A58B2" w:rsidRDefault="00A81D0E" w:rsidP="00A81D0E">
      <w:pPr>
        <w:spacing w:before="100" w:beforeAutospacing="1" w:afterAutospacing="1"/>
        <w:rPr>
          <w:lang w:val="en-US"/>
        </w:rPr>
      </w:pPr>
      <w:proofErr w:type="gramStart"/>
      <w:r w:rsidRPr="000A58B2">
        <w:rPr>
          <w:lang w:val="en-US"/>
        </w:rPr>
        <w:lastRenderedPageBreak/>
        <w:t xml:space="preserve">d) </w:t>
      </w:r>
      <w:r w:rsidR="00362A2E" w:rsidRPr="000A58B2">
        <w:rPr>
          <w:lang w:val="en-US"/>
        </w:rPr>
        <w:t>Be</w:t>
      </w:r>
      <w:proofErr w:type="gramEnd"/>
      <w:r w:rsidR="00362A2E" w:rsidRPr="000A58B2">
        <w:rPr>
          <w:lang w:val="en-US"/>
        </w:rPr>
        <w:t xml:space="preserve"> a representative or having represented in the year before his/ her appointment any individual under an administrative or court procedure filed against </w:t>
      </w:r>
      <w:r w:rsidR="00307F0A">
        <w:rPr>
          <w:lang w:val="en-US"/>
        </w:rPr>
        <w:t xml:space="preserve">the </w:t>
      </w:r>
      <w:r w:rsidR="006E55CC">
        <w:rPr>
          <w:lang w:val="en-US"/>
        </w:rPr>
        <w:t>SMV</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e) </w:t>
      </w:r>
      <w:r w:rsidR="006E55CC">
        <w:rPr>
          <w:lang w:val="en-US"/>
        </w:rPr>
        <w:t>R</w:t>
      </w:r>
      <w:r w:rsidR="00362A2E" w:rsidRPr="000A58B2">
        <w:rPr>
          <w:lang w:val="en-US"/>
        </w:rPr>
        <w:t>epresent o</w:t>
      </w:r>
      <w:r w:rsidR="006E55CC">
        <w:rPr>
          <w:lang w:val="en-US"/>
        </w:rPr>
        <w:t>r have represented during a one-</w:t>
      </w:r>
      <w:r w:rsidR="00362A2E" w:rsidRPr="000A58B2">
        <w:rPr>
          <w:lang w:val="en-US"/>
        </w:rPr>
        <w:t xml:space="preserve">year period before his/her appointment any natural or juridical persons against which </w:t>
      </w:r>
      <w:r w:rsidR="006E55CC">
        <w:rPr>
          <w:lang w:val="en-US"/>
        </w:rPr>
        <w:t>SMV</w:t>
      </w:r>
      <w:r w:rsidR="00307F0A">
        <w:rPr>
          <w:lang w:val="en-US"/>
        </w:rPr>
        <w:t xml:space="preserve"> </w:t>
      </w:r>
      <w:r w:rsidR="00362A2E" w:rsidRPr="000A58B2">
        <w:rPr>
          <w:lang w:val="en-US"/>
        </w:rPr>
        <w:t xml:space="preserve">may have filed a sanctioning procedure in the </w:t>
      </w:r>
      <w:r w:rsidR="006E55CC">
        <w:rPr>
          <w:lang w:val="en-US"/>
        </w:rPr>
        <w:t>last five years</w:t>
      </w:r>
      <w:r w:rsidRPr="000A58B2">
        <w:rPr>
          <w:lang w:val="en-US"/>
        </w:rPr>
        <w:t>.</w:t>
      </w:r>
    </w:p>
    <w:p w:rsidR="00A81D0E" w:rsidRPr="006E55CC" w:rsidRDefault="00A81D0E" w:rsidP="00A81D0E">
      <w:pPr>
        <w:spacing w:before="100" w:beforeAutospacing="1" w:afterAutospacing="1"/>
        <w:rPr>
          <w:lang w:val="en-US"/>
        </w:rPr>
      </w:pPr>
      <w:r w:rsidRPr="006E55CC">
        <w:rPr>
          <w:lang w:val="en-US"/>
        </w:rPr>
        <w:t xml:space="preserve">f) </w:t>
      </w:r>
      <w:r w:rsidR="00362A2E" w:rsidRPr="006E55CC">
        <w:rPr>
          <w:lang w:val="en-US"/>
        </w:rPr>
        <w:t xml:space="preserve">To have been declared insolvent by </w:t>
      </w:r>
      <w:r w:rsidR="00307F0A">
        <w:rPr>
          <w:lang w:val="en-US"/>
        </w:rPr>
        <w:t xml:space="preserve">National Institute for Defense of Competition and Intellectual Property </w:t>
      </w:r>
      <w:r w:rsidRPr="006E55CC">
        <w:rPr>
          <w:lang w:val="en-US"/>
        </w:rPr>
        <w:t>(I</w:t>
      </w:r>
      <w:r w:rsidR="00D63F90">
        <w:rPr>
          <w:lang w:val="en-US"/>
        </w:rPr>
        <w:t>NDECOPI</w:t>
      </w:r>
      <w:r w:rsidRPr="006E55CC">
        <w:rPr>
          <w:lang w:val="en-US"/>
        </w:rPr>
        <w:t xml:space="preserve">), </w:t>
      </w:r>
      <w:r w:rsidR="00362A2E" w:rsidRPr="006E55CC">
        <w:rPr>
          <w:lang w:val="en-US"/>
        </w:rPr>
        <w:t xml:space="preserve">for as long as such condition </w:t>
      </w:r>
      <w:r w:rsidR="006E55CC" w:rsidRPr="006E55CC">
        <w:rPr>
          <w:lang w:val="en-US"/>
        </w:rPr>
        <w:t>remains in effect</w:t>
      </w:r>
      <w:r w:rsidRPr="006E55CC">
        <w:rPr>
          <w:lang w:val="en-US"/>
        </w:rPr>
        <w:t>.</w:t>
      </w:r>
    </w:p>
    <w:p w:rsidR="00A81D0E" w:rsidRPr="000A58B2" w:rsidRDefault="00A81D0E" w:rsidP="00A81D0E">
      <w:pPr>
        <w:spacing w:before="100" w:beforeAutospacing="1" w:afterAutospacing="1"/>
        <w:rPr>
          <w:lang w:val="en-US"/>
        </w:rPr>
      </w:pPr>
      <w:r w:rsidRPr="000A58B2">
        <w:rPr>
          <w:lang w:val="en-US"/>
        </w:rPr>
        <w:t xml:space="preserve">g) </w:t>
      </w:r>
      <w:r w:rsidR="00362A2E" w:rsidRPr="000A58B2">
        <w:rPr>
          <w:lang w:val="en-US"/>
        </w:rPr>
        <w:t xml:space="preserve">To have been declared in </w:t>
      </w:r>
      <w:r w:rsidR="00B43FE4" w:rsidRPr="000A58B2">
        <w:rPr>
          <w:lang w:val="en-US"/>
        </w:rPr>
        <w:t>bankruptcy</w:t>
      </w:r>
      <w:r w:rsidR="00362A2E" w:rsidRPr="000A58B2">
        <w:rPr>
          <w:lang w:val="en-US"/>
        </w:rPr>
        <w:t>, even if the corresponding procedure was dismissed</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h) </w:t>
      </w:r>
      <w:r w:rsidR="00362A2E" w:rsidRPr="000A58B2">
        <w:rPr>
          <w:lang w:val="en-US"/>
        </w:rPr>
        <w:t xml:space="preserve">To be included in a criminal investigation process where a prosecutor may have </w:t>
      </w:r>
      <w:r w:rsidR="00B43FE4" w:rsidRPr="000A58B2">
        <w:rPr>
          <w:lang w:val="en-US"/>
        </w:rPr>
        <w:t>press</w:t>
      </w:r>
      <w:r w:rsidR="006E55CC">
        <w:rPr>
          <w:lang w:val="en-US"/>
        </w:rPr>
        <w:t>ed charges against him/</w:t>
      </w:r>
      <w:r w:rsidR="00362A2E" w:rsidRPr="000A58B2">
        <w:rPr>
          <w:lang w:val="en-US"/>
        </w:rPr>
        <w:t>her.</w:t>
      </w:r>
    </w:p>
    <w:p w:rsidR="00A81D0E" w:rsidRPr="000A58B2" w:rsidRDefault="00A81D0E" w:rsidP="00A81D0E">
      <w:pPr>
        <w:spacing w:before="100" w:beforeAutospacing="1" w:afterAutospacing="1"/>
        <w:rPr>
          <w:lang w:val="en-US"/>
        </w:rPr>
      </w:pPr>
      <w:proofErr w:type="spellStart"/>
      <w:r w:rsidRPr="000A58B2">
        <w:rPr>
          <w:lang w:val="en-US"/>
        </w:rPr>
        <w:t>i</w:t>
      </w:r>
      <w:proofErr w:type="spellEnd"/>
      <w:r w:rsidRPr="000A58B2">
        <w:rPr>
          <w:lang w:val="en-US"/>
        </w:rPr>
        <w:t xml:space="preserve">) </w:t>
      </w:r>
      <w:r w:rsidR="00362A2E" w:rsidRPr="000A58B2">
        <w:rPr>
          <w:lang w:val="en-US"/>
        </w:rPr>
        <w:t>Having been condemned for fraud, even if subsequently rehabilitated.</w:t>
      </w:r>
    </w:p>
    <w:p w:rsidR="00A81D0E" w:rsidRPr="000A58B2" w:rsidRDefault="00A81D0E" w:rsidP="00A81D0E">
      <w:pPr>
        <w:spacing w:before="100" w:beforeAutospacing="1" w:afterAutospacing="1"/>
        <w:rPr>
          <w:lang w:val="en-US"/>
        </w:rPr>
      </w:pPr>
      <w:r w:rsidRPr="000A58B2">
        <w:rPr>
          <w:lang w:val="en-US"/>
        </w:rPr>
        <w:t xml:space="preserve">j) </w:t>
      </w:r>
      <w:r w:rsidR="00362A2E" w:rsidRPr="000A58B2">
        <w:rPr>
          <w:lang w:val="en-US"/>
        </w:rPr>
        <w:t xml:space="preserve">Having court proceedings for debts with financial entities or other bodies under </w:t>
      </w:r>
      <w:r w:rsidRPr="000A58B2">
        <w:rPr>
          <w:lang w:val="en-US"/>
        </w:rPr>
        <w:t>S</w:t>
      </w:r>
      <w:r w:rsidR="006E55CC">
        <w:rPr>
          <w:lang w:val="en-US"/>
        </w:rPr>
        <w:t>MV’s oversight</w:t>
      </w:r>
      <w:r w:rsidRPr="000A58B2">
        <w:rPr>
          <w:lang w:val="en-US"/>
        </w:rPr>
        <w:t>.</w:t>
      </w:r>
    </w:p>
    <w:p w:rsidR="006E55CC" w:rsidRDefault="00A81D0E" w:rsidP="00A81D0E">
      <w:pPr>
        <w:spacing w:before="100" w:beforeAutospacing="1" w:afterAutospacing="1"/>
        <w:rPr>
          <w:lang w:val="en-US"/>
        </w:rPr>
      </w:pPr>
      <w:r w:rsidRPr="000A58B2">
        <w:rPr>
          <w:lang w:val="en-US"/>
        </w:rPr>
        <w:t xml:space="preserve">k) </w:t>
      </w:r>
      <w:r w:rsidR="00362A2E" w:rsidRPr="000A58B2">
        <w:rPr>
          <w:lang w:val="en-US"/>
        </w:rPr>
        <w:t xml:space="preserve">Having debt under legal collection for </w:t>
      </w:r>
      <w:r w:rsidR="006E55CC">
        <w:rPr>
          <w:lang w:val="en-US"/>
        </w:rPr>
        <w:t xml:space="preserve">an </w:t>
      </w:r>
      <w:r w:rsidR="00362A2E" w:rsidRPr="000A58B2">
        <w:rPr>
          <w:lang w:val="en-US"/>
        </w:rPr>
        <w:t xml:space="preserve">amount </w:t>
      </w:r>
      <w:r w:rsidR="006E55CC">
        <w:rPr>
          <w:lang w:val="en-US"/>
        </w:rPr>
        <w:t>exceeding</w:t>
      </w:r>
      <w:r w:rsidR="00362A2E" w:rsidRPr="000A58B2">
        <w:rPr>
          <w:lang w:val="en-US"/>
        </w:rPr>
        <w:t xml:space="preserve"> 50% of his/her net wealth and total annual income. </w:t>
      </w:r>
    </w:p>
    <w:p w:rsidR="00A81D0E" w:rsidRPr="000A58B2" w:rsidRDefault="00A81D0E" w:rsidP="00A81D0E">
      <w:pPr>
        <w:spacing w:before="100" w:beforeAutospacing="1" w:afterAutospacing="1"/>
        <w:rPr>
          <w:lang w:val="en-US"/>
        </w:rPr>
      </w:pPr>
      <w:r w:rsidRPr="000A58B2">
        <w:rPr>
          <w:lang w:val="en-US"/>
        </w:rPr>
        <w:t xml:space="preserve">l) </w:t>
      </w:r>
      <w:r w:rsidR="006E55CC">
        <w:rPr>
          <w:lang w:val="en-US"/>
        </w:rPr>
        <w:t>B</w:t>
      </w:r>
      <w:r w:rsidR="00362A2E" w:rsidRPr="000A58B2">
        <w:rPr>
          <w:lang w:val="en-US"/>
        </w:rPr>
        <w:t xml:space="preserve">e impeded by </w:t>
      </w:r>
      <w:r w:rsidR="006E55CC">
        <w:rPr>
          <w:lang w:val="en-US"/>
        </w:rPr>
        <w:t xml:space="preserve">any other </w:t>
      </w:r>
      <w:r w:rsidR="00362A2E" w:rsidRPr="000A58B2">
        <w:rPr>
          <w:lang w:val="en-US"/>
        </w:rPr>
        <w:t>existing laws</w:t>
      </w:r>
      <w:r w:rsidRPr="000A58B2">
        <w:rPr>
          <w:lang w:val="en-US"/>
        </w:rPr>
        <w:t>.</w:t>
      </w:r>
    </w:p>
    <w:p w:rsidR="00A81D0E" w:rsidRPr="000A58B2" w:rsidRDefault="00A81D0E" w:rsidP="00362A2E">
      <w:pPr>
        <w:spacing w:before="100" w:beforeAutospacing="1" w:afterAutospacing="1"/>
        <w:rPr>
          <w:lang w:val="en-US"/>
        </w:rPr>
      </w:pPr>
      <w:r w:rsidRPr="000A58B2">
        <w:rPr>
          <w:lang w:val="en-US"/>
        </w:rPr>
        <w:t xml:space="preserve">m) </w:t>
      </w:r>
      <w:r w:rsidR="00362A2E" w:rsidRPr="000A58B2">
        <w:rPr>
          <w:lang w:val="en-US"/>
        </w:rPr>
        <w:t xml:space="preserve">Having been sanctioned for serious or very serious </w:t>
      </w:r>
      <w:r w:rsidR="00307F0A">
        <w:rPr>
          <w:lang w:val="en-US"/>
        </w:rPr>
        <w:t xml:space="preserve">faults </w:t>
      </w:r>
      <w:r w:rsidR="00362A2E" w:rsidRPr="000A58B2">
        <w:rPr>
          <w:lang w:val="en-US"/>
        </w:rPr>
        <w:t>by</w:t>
      </w:r>
      <w:r w:rsidR="009D1E25">
        <w:rPr>
          <w:lang w:val="en-US"/>
        </w:rPr>
        <w:t xml:space="preserve"> SMV</w:t>
      </w:r>
      <w:r w:rsidR="00307F0A">
        <w:rPr>
          <w:lang w:val="en-US"/>
        </w:rPr>
        <w:t xml:space="preserve"> </w:t>
      </w:r>
      <w:r w:rsidR="00362A2E" w:rsidRPr="000A58B2">
        <w:rPr>
          <w:lang w:val="en-US"/>
        </w:rPr>
        <w:t>or by</w:t>
      </w:r>
      <w:r w:rsidR="00307F0A">
        <w:rPr>
          <w:lang w:val="en-US"/>
        </w:rPr>
        <w:t xml:space="preserve"> </w:t>
      </w:r>
      <w:r w:rsidRPr="000A58B2">
        <w:rPr>
          <w:lang w:val="en-US"/>
        </w:rPr>
        <w:t>Superintendenc</w:t>
      </w:r>
      <w:r w:rsidR="00307F0A">
        <w:rPr>
          <w:lang w:val="en-US"/>
        </w:rPr>
        <w:t>e of Banking, Insurance and Private Pension Funds Management Companies</w:t>
      </w:r>
      <w:r w:rsidRPr="000A58B2">
        <w:rPr>
          <w:lang w:val="en-US"/>
        </w:rPr>
        <w:t xml:space="preserve"> (SBS) </w:t>
      </w:r>
      <w:r w:rsidR="00362A2E" w:rsidRPr="000A58B2">
        <w:rPr>
          <w:lang w:val="en-US"/>
        </w:rPr>
        <w:t>during the execution of oversight functions</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n) </w:t>
      </w:r>
      <w:r w:rsidR="00362A2E" w:rsidRPr="000A58B2">
        <w:rPr>
          <w:lang w:val="en-US"/>
        </w:rPr>
        <w:t xml:space="preserve">Having been removed from public office or terminated in the exercise of government positions for a serious offense or to be impeded to exercise a public function by a court decision or a legislative decision </w:t>
      </w:r>
      <w:r w:rsidR="006E55CC">
        <w:rPr>
          <w:lang w:val="en-US"/>
        </w:rPr>
        <w:t>of</w:t>
      </w:r>
      <w:r w:rsidR="00362A2E" w:rsidRPr="000A58B2">
        <w:rPr>
          <w:lang w:val="en-US"/>
        </w:rPr>
        <w:t xml:space="preserve"> the</w:t>
      </w:r>
      <w:r w:rsidR="006E55CC">
        <w:rPr>
          <w:lang w:val="en-US"/>
        </w:rPr>
        <w:t xml:space="preserve"> Peruvian</w:t>
      </w:r>
      <w:r w:rsidR="00362A2E" w:rsidRPr="000A58B2">
        <w:rPr>
          <w:lang w:val="en-US"/>
        </w:rPr>
        <w:t xml:space="preserve"> Congress</w:t>
      </w:r>
      <w:r w:rsidRPr="000A58B2">
        <w:rPr>
          <w:lang w:val="en-US"/>
        </w:rPr>
        <w:t>.</w:t>
      </w:r>
    </w:p>
    <w:p w:rsidR="00A81D0E" w:rsidRPr="000A58B2" w:rsidRDefault="00362A2E" w:rsidP="00A81D0E">
      <w:pPr>
        <w:spacing w:before="100" w:beforeAutospacing="1" w:afterAutospacing="1"/>
        <w:rPr>
          <w:lang w:val="en-US"/>
        </w:rPr>
      </w:pPr>
      <w:r w:rsidRPr="000A58B2">
        <w:rPr>
          <w:lang w:val="en-US"/>
        </w:rPr>
        <w:t xml:space="preserve">In addition, nobody may be appointed as Superintendent or Director if their spouse or </w:t>
      </w:r>
      <w:r w:rsidR="00307F0A">
        <w:rPr>
          <w:lang w:val="en-US"/>
        </w:rPr>
        <w:t>relatives up</w:t>
      </w:r>
      <w:r w:rsidRPr="000A58B2">
        <w:rPr>
          <w:lang w:val="en-US"/>
        </w:rPr>
        <w:t xml:space="preserve"> to the second degree </w:t>
      </w:r>
      <w:r w:rsidR="00307F0A">
        <w:rPr>
          <w:lang w:val="en-US"/>
        </w:rPr>
        <w:t xml:space="preserve">of blood </w:t>
      </w:r>
      <w:r w:rsidR="008B43A0" w:rsidRPr="000A58B2">
        <w:rPr>
          <w:lang w:val="en-US"/>
        </w:rPr>
        <w:t xml:space="preserve">or </w:t>
      </w:r>
      <w:r w:rsidR="00307F0A">
        <w:rPr>
          <w:lang w:val="en-US"/>
        </w:rPr>
        <w:t xml:space="preserve">within </w:t>
      </w:r>
      <w:r w:rsidR="008B43A0" w:rsidRPr="000A58B2">
        <w:rPr>
          <w:lang w:val="en-US"/>
        </w:rPr>
        <w:t xml:space="preserve">the first degree </w:t>
      </w:r>
      <w:r w:rsidR="00307F0A">
        <w:rPr>
          <w:lang w:val="en-US"/>
        </w:rPr>
        <w:t xml:space="preserve">of family relationship </w:t>
      </w:r>
      <w:r w:rsidR="008B43A0" w:rsidRPr="000A58B2">
        <w:rPr>
          <w:lang w:val="en-US"/>
        </w:rPr>
        <w:t xml:space="preserve">are </w:t>
      </w:r>
      <w:r w:rsidR="006E55CC">
        <w:rPr>
          <w:lang w:val="en-US"/>
        </w:rPr>
        <w:t>comprised</w:t>
      </w:r>
      <w:r w:rsidR="008B43A0" w:rsidRPr="000A58B2">
        <w:rPr>
          <w:lang w:val="en-US"/>
        </w:rPr>
        <w:t xml:space="preserve"> in the </w:t>
      </w:r>
      <w:r w:rsidR="009B3E19" w:rsidRPr="000A58B2">
        <w:rPr>
          <w:lang w:val="en-US"/>
        </w:rPr>
        <w:t>conditions described in paragraphs</w:t>
      </w:r>
      <w:r w:rsidR="00A81D0E" w:rsidRPr="000A58B2">
        <w:rPr>
          <w:lang w:val="en-US"/>
        </w:rPr>
        <w:t xml:space="preserve"> b) </w:t>
      </w:r>
      <w:r w:rsidR="009B3E19" w:rsidRPr="000A58B2">
        <w:rPr>
          <w:lang w:val="en-US"/>
        </w:rPr>
        <w:t>and</w:t>
      </w:r>
      <w:r w:rsidR="00A81D0E" w:rsidRPr="000A58B2">
        <w:rPr>
          <w:lang w:val="en-US"/>
        </w:rPr>
        <w:t xml:space="preserve"> c).</w:t>
      </w:r>
    </w:p>
    <w:p w:rsidR="00A81D0E" w:rsidRPr="000A58B2" w:rsidRDefault="006E55CC" w:rsidP="009B3E19">
      <w:pPr>
        <w:spacing w:before="100" w:beforeAutospacing="1" w:afterAutospacing="1"/>
        <w:rPr>
          <w:b/>
          <w:bCs/>
          <w:lang w:val="en-US"/>
        </w:rPr>
      </w:pPr>
      <w:r>
        <w:rPr>
          <w:lang w:val="en-US"/>
        </w:rPr>
        <w:t>Every year the S</w:t>
      </w:r>
      <w:r w:rsidR="009B3E19" w:rsidRPr="000A58B2">
        <w:rPr>
          <w:lang w:val="en-US"/>
        </w:rPr>
        <w:t xml:space="preserve">uperintendent and </w:t>
      </w:r>
      <w:r w:rsidRPr="000A58B2">
        <w:rPr>
          <w:lang w:val="en-US"/>
        </w:rPr>
        <w:t xml:space="preserve">Board Members </w:t>
      </w:r>
      <w:r w:rsidR="009B3E19" w:rsidRPr="000A58B2">
        <w:rPr>
          <w:lang w:val="en-US"/>
        </w:rPr>
        <w:t>will file affidavit</w:t>
      </w:r>
      <w:r>
        <w:rPr>
          <w:lang w:val="en-US"/>
        </w:rPr>
        <w:t>s</w:t>
      </w:r>
      <w:r w:rsidR="009B3E19" w:rsidRPr="000A58B2">
        <w:rPr>
          <w:lang w:val="en-US"/>
        </w:rPr>
        <w:t xml:space="preserve"> declaring they are not comprised under any of the impediments described in this article. </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w:t>
      </w:r>
      <w:r w:rsidR="009B3E19" w:rsidRPr="000A58B2">
        <w:rPr>
          <w:bCs/>
          <w:sz w:val="18"/>
          <w:szCs w:val="18"/>
          <w:lang w:val="en-US"/>
        </w:rPr>
        <w:t xml:space="preserve">Article replaced by </w:t>
      </w:r>
      <w:hyperlink r:id="rId15" w:anchor="JD_L29782-A2" w:history="1">
        <w:r w:rsidR="009B3E19" w:rsidRPr="000A58B2">
          <w:rPr>
            <w:bCs/>
            <w:sz w:val="18"/>
            <w:szCs w:val="18"/>
            <w:lang w:val="en-US"/>
          </w:rPr>
          <w:t>Article 2 under Law Nº 29782</w:t>
        </w:r>
      </w:hyperlink>
      <w:r w:rsidRPr="000A58B2">
        <w:rPr>
          <w:bCs/>
          <w:sz w:val="18"/>
          <w:szCs w:val="18"/>
          <w:lang w:val="en-US"/>
        </w:rPr>
        <w:t>.</w:t>
      </w:r>
    </w:p>
    <w:p w:rsidR="000E4FE2" w:rsidRPr="000A58B2" w:rsidRDefault="00CD02B0" w:rsidP="00A81D0E">
      <w:pPr>
        <w:spacing w:before="100" w:beforeAutospacing="1" w:afterAutospacing="1"/>
        <w:rPr>
          <w:b/>
          <w:bCs/>
          <w:lang w:val="en-US"/>
        </w:rPr>
      </w:pPr>
      <w:r w:rsidRPr="000A58B2">
        <w:rPr>
          <w:b/>
          <w:bCs/>
          <w:i/>
          <w:iCs/>
          <w:lang w:val="en-US"/>
        </w:rPr>
        <w:t>Article</w:t>
      </w:r>
      <w:r w:rsidR="00A81D0E" w:rsidRPr="000A58B2">
        <w:rPr>
          <w:b/>
          <w:bCs/>
          <w:i/>
          <w:iCs/>
          <w:lang w:val="en-US"/>
        </w:rPr>
        <w:t xml:space="preserve"> 7.-</w:t>
      </w:r>
      <w:r w:rsidR="00AB39C1">
        <w:rPr>
          <w:b/>
          <w:bCs/>
          <w:i/>
          <w:iCs/>
          <w:lang w:val="en-US"/>
        </w:rPr>
        <w:t xml:space="preserve"> </w:t>
      </w:r>
      <w:r w:rsidR="009B3E19" w:rsidRPr="000A58B2">
        <w:rPr>
          <w:bCs/>
          <w:lang w:val="en-US"/>
        </w:rPr>
        <w:t xml:space="preserve">Article abrogated by the Fourth Modifying Complementary Provision under </w:t>
      </w:r>
      <w:hyperlink r:id="rId16" w:anchor="JD_L29782-4DCM" w:history="1">
        <w:r w:rsidR="00A81D0E" w:rsidRPr="006E55CC">
          <w:rPr>
            <w:bCs/>
            <w:lang w:val="en-US"/>
          </w:rPr>
          <w:t>L</w:t>
        </w:r>
        <w:r w:rsidR="009B3E19" w:rsidRPr="006E55CC">
          <w:rPr>
            <w:bCs/>
            <w:lang w:val="en-US"/>
          </w:rPr>
          <w:t>aw</w:t>
        </w:r>
        <w:r w:rsidR="00A81D0E" w:rsidRPr="006E55CC">
          <w:rPr>
            <w:bCs/>
            <w:lang w:val="en-US"/>
          </w:rPr>
          <w:t xml:space="preserve"> Nº 29782</w:t>
        </w:r>
      </w:hyperlink>
      <w:r w:rsidR="00A81D0E" w:rsidRPr="006E55CC">
        <w:rPr>
          <w:bCs/>
          <w:lang w:val="en-US"/>
        </w:rPr>
        <w:t>.</w:t>
      </w:r>
      <w:r w:rsidR="00A81D0E" w:rsidRPr="006E55CC">
        <w:rPr>
          <w:bCs/>
          <w:lang w:val="en-US"/>
        </w:rPr>
        <w:br/>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8. </w:t>
      </w:r>
      <w:r w:rsidR="009B3E19" w:rsidRPr="000A58B2">
        <w:rPr>
          <w:b/>
          <w:bCs/>
          <w:lang w:val="en-US"/>
        </w:rPr>
        <w:t>Prohibitions during mandate</w:t>
      </w:r>
      <w:r w:rsidR="00AB39C1">
        <w:rPr>
          <w:b/>
          <w:bCs/>
          <w:lang w:val="en-US"/>
        </w:rPr>
        <w:t xml:space="preserve"> </w:t>
      </w:r>
      <w:r w:rsidR="00A81D0E" w:rsidRPr="000A58B2">
        <w:rPr>
          <w:bCs/>
          <w:lang w:val="en-US"/>
        </w:rPr>
        <w:t>(*)</w:t>
      </w:r>
    </w:p>
    <w:p w:rsidR="00A81D0E" w:rsidRPr="000A58B2" w:rsidRDefault="009B3E19" w:rsidP="009B3E19">
      <w:pPr>
        <w:spacing w:before="100" w:beforeAutospacing="1" w:afterAutospacing="1"/>
        <w:rPr>
          <w:lang w:val="en-US"/>
        </w:rPr>
      </w:pPr>
      <w:r w:rsidRPr="000A58B2">
        <w:rPr>
          <w:lang w:val="en-US"/>
        </w:rPr>
        <w:t xml:space="preserve">The </w:t>
      </w:r>
      <w:r w:rsidR="006E55CC" w:rsidRPr="000A58B2">
        <w:rPr>
          <w:lang w:val="en-US"/>
        </w:rPr>
        <w:t xml:space="preserve">Superintendent </w:t>
      </w:r>
      <w:r w:rsidRPr="000A58B2">
        <w:rPr>
          <w:lang w:val="en-US"/>
        </w:rPr>
        <w:t xml:space="preserve">and </w:t>
      </w:r>
      <w:r w:rsidR="006E55CC" w:rsidRPr="000A58B2">
        <w:rPr>
          <w:lang w:val="en-US"/>
        </w:rPr>
        <w:t xml:space="preserve">Board Members </w:t>
      </w:r>
      <w:r w:rsidRPr="000A58B2">
        <w:rPr>
          <w:lang w:val="en-US"/>
        </w:rPr>
        <w:t xml:space="preserve">are prohibited, during the exercise of their </w:t>
      </w:r>
      <w:r w:rsidR="006E55CC">
        <w:rPr>
          <w:lang w:val="en-US"/>
        </w:rPr>
        <w:t>functions,</w:t>
      </w:r>
      <w:r w:rsidRPr="000A58B2">
        <w:rPr>
          <w:lang w:val="en-US"/>
        </w:rPr>
        <w:t xml:space="preserve"> to engage in transactions with movable securities or to increase their prior securities holdings, if any. Exceptions include free shares and shares </w:t>
      </w:r>
      <w:r w:rsidR="00B43FE4" w:rsidRPr="000A58B2">
        <w:rPr>
          <w:lang w:val="en-US"/>
        </w:rPr>
        <w:t>subscribed</w:t>
      </w:r>
      <w:r w:rsidRPr="000A58B2">
        <w:rPr>
          <w:lang w:val="en-US"/>
        </w:rPr>
        <w:t xml:space="preserve"> in the exercise of preferential rights established by Law</w:t>
      </w:r>
      <w:r w:rsidR="00A81D0E" w:rsidRPr="000A58B2">
        <w:rPr>
          <w:lang w:val="en-US"/>
        </w:rPr>
        <w:t xml:space="preserve"> 26887, </w:t>
      </w:r>
      <w:r w:rsidR="006E55CC">
        <w:rPr>
          <w:lang w:val="en-US"/>
        </w:rPr>
        <w:t xml:space="preserve">the </w:t>
      </w:r>
      <w:r w:rsidRPr="000A58B2">
        <w:rPr>
          <w:lang w:val="en-US"/>
        </w:rPr>
        <w:t xml:space="preserve">General Company Law. The Superintendent or Director will refrain from </w:t>
      </w:r>
      <w:r w:rsidR="006E55CC">
        <w:rPr>
          <w:lang w:val="en-US"/>
        </w:rPr>
        <w:t>attending</w:t>
      </w:r>
      <w:r w:rsidRPr="000A58B2">
        <w:rPr>
          <w:lang w:val="en-US"/>
        </w:rPr>
        <w:t xml:space="preserve"> general shareholders’ meeting of companies </w:t>
      </w:r>
      <w:r w:rsidR="006E55CC">
        <w:rPr>
          <w:lang w:val="en-US"/>
        </w:rPr>
        <w:t>where</w:t>
      </w:r>
      <w:r w:rsidRPr="000A58B2">
        <w:rPr>
          <w:lang w:val="en-US"/>
        </w:rPr>
        <w:t xml:space="preserve"> they hold stock and are subject </w:t>
      </w:r>
      <w:r w:rsidR="00B43FE4" w:rsidRPr="000A58B2">
        <w:rPr>
          <w:lang w:val="en-US"/>
        </w:rPr>
        <w:t>to S</w:t>
      </w:r>
      <w:r w:rsidR="006E55CC">
        <w:rPr>
          <w:lang w:val="en-US"/>
        </w:rPr>
        <w:t>MV’s</w:t>
      </w:r>
      <w:r w:rsidRPr="000A58B2">
        <w:rPr>
          <w:lang w:val="en-US"/>
        </w:rPr>
        <w:t xml:space="preserve"> oversight</w:t>
      </w:r>
      <w:r w:rsidR="00A81D0E" w:rsidRPr="000A58B2">
        <w:rPr>
          <w:lang w:val="en-US"/>
        </w:rPr>
        <w:t>.</w:t>
      </w:r>
    </w:p>
    <w:p w:rsidR="00A81D0E" w:rsidRPr="000A58B2" w:rsidRDefault="009B3E19" w:rsidP="00A81D0E">
      <w:pPr>
        <w:spacing w:before="100" w:beforeAutospacing="1" w:afterAutospacing="1"/>
        <w:rPr>
          <w:b/>
          <w:bCs/>
          <w:lang w:val="en-US"/>
        </w:rPr>
      </w:pPr>
      <w:r w:rsidRPr="000A58B2">
        <w:rPr>
          <w:lang w:val="en-US"/>
        </w:rPr>
        <w:t xml:space="preserve">In addition, the </w:t>
      </w:r>
      <w:r w:rsidR="006E55CC" w:rsidRPr="000A58B2">
        <w:rPr>
          <w:lang w:val="en-US"/>
        </w:rPr>
        <w:t xml:space="preserve">Superintendent and Board Members </w:t>
      </w:r>
      <w:r w:rsidRPr="000A58B2">
        <w:rPr>
          <w:lang w:val="en-US"/>
        </w:rPr>
        <w:t xml:space="preserve">are forbidden to provide </w:t>
      </w:r>
      <w:r w:rsidR="00B43FE4" w:rsidRPr="000A58B2">
        <w:rPr>
          <w:lang w:val="en-US"/>
        </w:rPr>
        <w:t>advice</w:t>
      </w:r>
      <w:r w:rsidRPr="000A58B2">
        <w:rPr>
          <w:lang w:val="en-US"/>
        </w:rPr>
        <w:t xml:space="preserve"> on issues within </w:t>
      </w:r>
      <w:r w:rsidR="006E55CC" w:rsidRPr="000A58B2">
        <w:rPr>
          <w:lang w:val="en-US"/>
        </w:rPr>
        <w:t>S</w:t>
      </w:r>
      <w:r w:rsidR="006E55CC">
        <w:rPr>
          <w:lang w:val="en-US"/>
        </w:rPr>
        <w:t>MV’s</w:t>
      </w:r>
      <w:r w:rsidR="00BD1601">
        <w:rPr>
          <w:lang w:val="en-US"/>
        </w:rPr>
        <w:t xml:space="preserve"> </w:t>
      </w:r>
      <w:r w:rsidRPr="000A58B2">
        <w:rPr>
          <w:lang w:val="en-US"/>
        </w:rPr>
        <w:t>competency</w:t>
      </w:r>
      <w:r w:rsidR="00A81D0E" w:rsidRPr="000A58B2">
        <w:rPr>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lastRenderedPageBreak/>
        <w:t>(*)</w:t>
      </w:r>
      <w:r w:rsidR="009B3E19" w:rsidRPr="000A58B2">
        <w:rPr>
          <w:bCs/>
          <w:sz w:val="18"/>
          <w:szCs w:val="18"/>
          <w:lang w:val="en-US"/>
        </w:rPr>
        <w:t xml:space="preserve">Article replaced by </w:t>
      </w:r>
      <w:hyperlink r:id="rId17" w:anchor="JD_L29782-A2" w:history="1">
        <w:r w:rsidR="009B3E19" w:rsidRPr="000A58B2">
          <w:rPr>
            <w:bCs/>
            <w:sz w:val="18"/>
            <w:szCs w:val="18"/>
            <w:lang w:val="en-US"/>
          </w:rPr>
          <w:t>Article 2 under Law Nº 29782</w:t>
        </w:r>
      </w:hyperlink>
      <w:r w:rsidRPr="000A58B2">
        <w:rPr>
          <w:bCs/>
          <w:sz w:val="18"/>
          <w:szCs w:val="18"/>
          <w:lang w:val="en-US"/>
        </w:rPr>
        <w:t>.</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9. </w:t>
      </w:r>
      <w:r w:rsidR="00A158D1">
        <w:rPr>
          <w:b/>
          <w:bCs/>
          <w:lang w:val="en-US"/>
        </w:rPr>
        <w:t>Superintendent and B</w:t>
      </w:r>
      <w:r w:rsidR="009B3E19" w:rsidRPr="000A58B2">
        <w:rPr>
          <w:b/>
          <w:bCs/>
          <w:lang w:val="en-US"/>
        </w:rPr>
        <w:t>oard vacancy</w:t>
      </w:r>
      <w:r w:rsidR="0090227E">
        <w:rPr>
          <w:b/>
          <w:bCs/>
          <w:lang w:val="en-US"/>
        </w:rPr>
        <w:t xml:space="preserve"> </w:t>
      </w:r>
      <w:r w:rsidR="00A81D0E" w:rsidRPr="000A58B2">
        <w:rPr>
          <w:bCs/>
          <w:lang w:val="en-US"/>
        </w:rPr>
        <w:t>(*)</w:t>
      </w:r>
    </w:p>
    <w:p w:rsidR="00A81D0E" w:rsidRPr="000A58B2" w:rsidRDefault="009B3E19" w:rsidP="009B3E19">
      <w:pPr>
        <w:spacing w:before="100" w:beforeAutospacing="1" w:afterAutospacing="1"/>
        <w:rPr>
          <w:lang w:val="en-US"/>
        </w:rPr>
      </w:pPr>
      <w:r w:rsidRPr="000A58B2">
        <w:rPr>
          <w:lang w:val="en-US"/>
        </w:rPr>
        <w:t xml:space="preserve">The </w:t>
      </w:r>
      <w:r w:rsidR="00EB6E97" w:rsidRPr="000A58B2">
        <w:rPr>
          <w:lang w:val="en-US"/>
        </w:rPr>
        <w:t xml:space="preserve">Superintendent </w:t>
      </w:r>
      <w:r w:rsidRPr="000A58B2">
        <w:rPr>
          <w:lang w:val="en-US"/>
        </w:rPr>
        <w:t xml:space="preserve">and </w:t>
      </w:r>
      <w:r w:rsidR="00EB6E97" w:rsidRPr="000A58B2">
        <w:rPr>
          <w:lang w:val="en-US"/>
        </w:rPr>
        <w:t xml:space="preserve">Board </w:t>
      </w:r>
      <w:r w:rsidR="00EB6E97">
        <w:rPr>
          <w:lang w:val="en-US"/>
        </w:rPr>
        <w:t>Member</w:t>
      </w:r>
      <w:r w:rsidR="00BD1601">
        <w:rPr>
          <w:lang w:val="en-US"/>
        </w:rPr>
        <w:t xml:space="preserve"> </w:t>
      </w:r>
      <w:r w:rsidRPr="000A58B2">
        <w:rPr>
          <w:lang w:val="en-US"/>
        </w:rPr>
        <w:t xml:space="preserve">positions will be declared vacant for reasons of permanent physical disability, disease or resignation from the post filed before the Executive Branch and for any of the </w:t>
      </w:r>
      <w:r w:rsidR="00B43FE4" w:rsidRPr="000A58B2">
        <w:rPr>
          <w:lang w:val="en-US"/>
        </w:rPr>
        <w:t>impediment</w:t>
      </w:r>
      <w:r w:rsidR="006E55CC">
        <w:rPr>
          <w:lang w:val="en-US"/>
        </w:rPr>
        <w:t>s</w:t>
      </w:r>
      <w:r w:rsidRPr="000A58B2">
        <w:rPr>
          <w:lang w:val="en-US"/>
        </w:rPr>
        <w:t xml:space="preserve"> set forth</w:t>
      </w:r>
      <w:r w:rsidR="00422A73" w:rsidRPr="000A58B2">
        <w:rPr>
          <w:lang w:val="en-US"/>
        </w:rPr>
        <w:t xml:space="preserve"> in paragraphs</w:t>
      </w:r>
      <w:r w:rsidR="00BD1601">
        <w:rPr>
          <w:lang w:val="en-US"/>
        </w:rPr>
        <w:t xml:space="preserve"> </w:t>
      </w:r>
      <w:r w:rsidR="00A81D0E" w:rsidRPr="000A58B2">
        <w:rPr>
          <w:lang w:val="en-US"/>
        </w:rPr>
        <w:t xml:space="preserve">a) </w:t>
      </w:r>
      <w:r w:rsidR="00422A73" w:rsidRPr="000A58B2">
        <w:rPr>
          <w:lang w:val="en-US"/>
        </w:rPr>
        <w:t>to</w:t>
      </w:r>
      <w:r w:rsidR="00A81D0E" w:rsidRPr="000A58B2">
        <w:rPr>
          <w:lang w:val="en-US"/>
        </w:rPr>
        <w:t xml:space="preserve"> n) </w:t>
      </w:r>
      <w:r w:rsidR="00422A73" w:rsidRPr="000A58B2">
        <w:rPr>
          <w:lang w:val="en-US"/>
        </w:rPr>
        <w:t>under</w:t>
      </w:r>
      <w:r w:rsidR="00BD1601">
        <w:rPr>
          <w:lang w:val="en-US"/>
        </w:rPr>
        <w:t xml:space="preserve"> </w:t>
      </w:r>
      <w:r w:rsidR="00CD02B0" w:rsidRPr="000A58B2">
        <w:rPr>
          <w:lang w:val="en-US"/>
        </w:rPr>
        <w:t>article</w:t>
      </w:r>
      <w:r w:rsidR="00A81D0E" w:rsidRPr="000A58B2">
        <w:rPr>
          <w:lang w:val="en-US"/>
        </w:rPr>
        <w:t xml:space="preserve"> 6. </w:t>
      </w:r>
      <w:r w:rsidR="00422A73" w:rsidRPr="000A58B2">
        <w:rPr>
          <w:lang w:val="en-US"/>
        </w:rPr>
        <w:t>In addition</w:t>
      </w:r>
      <w:r w:rsidR="00A81D0E" w:rsidRPr="000A58B2">
        <w:rPr>
          <w:lang w:val="en-US"/>
        </w:rPr>
        <w:t xml:space="preserve">, </w:t>
      </w:r>
      <w:r w:rsidR="006E55CC">
        <w:rPr>
          <w:lang w:val="en-US"/>
        </w:rPr>
        <w:t>the D</w:t>
      </w:r>
      <w:r w:rsidR="00422A73" w:rsidRPr="000A58B2">
        <w:rPr>
          <w:lang w:val="en-US"/>
        </w:rPr>
        <w:t xml:space="preserve">irectors’ position will be declared vacant if </w:t>
      </w:r>
      <w:r w:rsidR="006E55CC">
        <w:rPr>
          <w:lang w:val="en-US"/>
        </w:rPr>
        <w:t>he/she fails</w:t>
      </w:r>
      <w:r w:rsidR="00422A73" w:rsidRPr="000A58B2">
        <w:rPr>
          <w:lang w:val="en-US"/>
        </w:rPr>
        <w:t xml:space="preserve"> to attend four consecutive ordinary sessions or more than half of the sessions held in one semester, excepting when a leave was timely granted</w:t>
      </w:r>
      <w:r w:rsidR="00A81D0E" w:rsidRPr="000A58B2">
        <w:rPr>
          <w:lang w:val="en-US"/>
        </w:rPr>
        <w:t>.</w:t>
      </w:r>
    </w:p>
    <w:p w:rsidR="00A81D0E" w:rsidRPr="000A58B2" w:rsidRDefault="006E55CC" w:rsidP="00A81D0E">
      <w:pPr>
        <w:spacing w:before="100" w:beforeAutospacing="1" w:afterAutospacing="1"/>
        <w:rPr>
          <w:b/>
          <w:bCs/>
          <w:lang w:val="en-US"/>
        </w:rPr>
      </w:pPr>
      <w:r>
        <w:rPr>
          <w:lang w:val="en-US"/>
        </w:rPr>
        <w:t>After the S</w:t>
      </w:r>
      <w:r w:rsidR="00422A73" w:rsidRPr="000A58B2">
        <w:rPr>
          <w:lang w:val="en-US"/>
        </w:rPr>
        <w:t xml:space="preserve">uperintendent’s vacancy and while his/her </w:t>
      </w:r>
      <w:r w:rsidR="00B43FE4" w:rsidRPr="000A58B2">
        <w:rPr>
          <w:lang w:val="en-US"/>
        </w:rPr>
        <w:t>successor</w:t>
      </w:r>
      <w:r w:rsidR="00422A73" w:rsidRPr="000A58B2">
        <w:rPr>
          <w:lang w:val="en-US"/>
        </w:rPr>
        <w:t xml:space="preserve"> has not been appointed, the functions inherent to such position will be exercised by </w:t>
      </w:r>
      <w:r>
        <w:rPr>
          <w:lang w:val="en-US"/>
        </w:rPr>
        <w:t>a</w:t>
      </w:r>
      <w:r w:rsidR="00BD1601">
        <w:rPr>
          <w:lang w:val="en-US"/>
        </w:rPr>
        <w:t xml:space="preserve"> </w:t>
      </w:r>
      <w:r>
        <w:rPr>
          <w:lang w:val="en-US"/>
        </w:rPr>
        <w:t>Deputy S</w:t>
      </w:r>
      <w:r w:rsidR="00422A73" w:rsidRPr="000A58B2">
        <w:rPr>
          <w:lang w:val="en-US"/>
        </w:rPr>
        <w:t xml:space="preserve">uperintendent </w:t>
      </w:r>
      <w:r w:rsidR="00C363AC" w:rsidRPr="000A58B2">
        <w:rPr>
          <w:lang w:val="en-US"/>
        </w:rPr>
        <w:t xml:space="preserve">with the most senior position </w:t>
      </w:r>
      <w:r w:rsidR="00422A73" w:rsidRPr="000A58B2">
        <w:rPr>
          <w:lang w:val="en-US"/>
        </w:rPr>
        <w:t xml:space="preserve">or </w:t>
      </w:r>
      <w:r>
        <w:rPr>
          <w:lang w:val="en-US"/>
        </w:rPr>
        <w:t>by the most senior Deputy S</w:t>
      </w:r>
      <w:r w:rsidRPr="000A58B2">
        <w:rPr>
          <w:lang w:val="en-US"/>
        </w:rPr>
        <w:t xml:space="preserve">uperintendent </w:t>
      </w:r>
      <w:r>
        <w:rPr>
          <w:lang w:val="en-US"/>
        </w:rPr>
        <w:t>within</w:t>
      </w:r>
      <w:r w:rsidR="00BD1601">
        <w:rPr>
          <w:lang w:val="en-US"/>
        </w:rPr>
        <w:t xml:space="preserve"> </w:t>
      </w:r>
      <w:r>
        <w:rPr>
          <w:lang w:val="en-US"/>
        </w:rPr>
        <w:t>SMV</w:t>
      </w:r>
      <w:r w:rsidR="00A81D0E" w:rsidRPr="000A58B2">
        <w:rPr>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w:t>
      </w:r>
      <w:r w:rsidR="00C363AC" w:rsidRPr="000A58B2">
        <w:rPr>
          <w:bCs/>
          <w:sz w:val="18"/>
          <w:szCs w:val="18"/>
          <w:lang w:val="en-US"/>
        </w:rPr>
        <w:t xml:space="preserve">Article replaced by </w:t>
      </w:r>
      <w:hyperlink r:id="rId18" w:anchor="JD_L29782-A2" w:history="1">
        <w:r w:rsidR="00C363AC" w:rsidRPr="000A58B2">
          <w:rPr>
            <w:bCs/>
            <w:sz w:val="18"/>
            <w:szCs w:val="18"/>
            <w:lang w:val="en-US"/>
          </w:rPr>
          <w:t>Article 2 under Law Nº 29782</w:t>
        </w:r>
      </w:hyperlink>
      <w:r w:rsidRPr="000A58B2">
        <w:rPr>
          <w:bCs/>
          <w:sz w:val="18"/>
          <w:szCs w:val="18"/>
          <w:lang w:val="en-US"/>
        </w:rPr>
        <w:t>.</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10. </w:t>
      </w:r>
      <w:r w:rsidR="00C363AC" w:rsidRPr="000A58B2">
        <w:rPr>
          <w:b/>
          <w:bCs/>
          <w:lang w:val="en-US"/>
        </w:rPr>
        <w:t>Vacancies</w:t>
      </w:r>
      <w:r w:rsidR="0090227E">
        <w:rPr>
          <w:b/>
          <w:bCs/>
          <w:lang w:val="en-US"/>
        </w:rPr>
        <w:t xml:space="preserve"> </w:t>
      </w:r>
      <w:r w:rsidR="00A81D0E" w:rsidRPr="000A58B2">
        <w:rPr>
          <w:bCs/>
          <w:lang w:val="en-US"/>
        </w:rPr>
        <w:t>(*)</w:t>
      </w:r>
    </w:p>
    <w:p w:rsidR="00A81D0E" w:rsidRPr="000A58B2" w:rsidRDefault="00C363AC" w:rsidP="00A81D0E">
      <w:pPr>
        <w:spacing w:before="100" w:beforeAutospacing="1" w:afterAutospacing="1"/>
        <w:rPr>
          <w:b/>
          <w:bCs/>
          <w:lang w:val="en-US"/>
        </w:rPr>
      </w:pPr>
      <w:r w:rsidRPr="000A58B2">
        <w:rPr>
          <w:lang w:val="en-US"/>
        </w:rPr>
        <w:t>Vacancies are declared by the Board and made known by the Executive Branch, as appropriate</w:t>
      </w:r>
      <w:r w:rsidR="00A81D0E" w:rsidRPr="000A58B2">
        <w:rPr>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w:t>
      </w:r>
      <w:r w:rsidR="00C363AC" w:rsidRPr="000A58B2">
        <w:rPr>
          <w:bCs/>
          <w:sz w:val="18"/>
          <w:szCs w:val="18"/>
          <w:lang w:val="en-US"/>
        </w:rPr>
        <w:t xml:space="preserve">Article replaced by </w:t>
      </w:r>
      <w:hyperlink r:id="rId19" w:anchor="JD_L29782-A2" w:history="1">
        <w:r w:rsidR="00C363AC" w:rsidRPr="000A58B2">
          <w:rPr>
            <w:bCs/>
            <w:sz w:val="18"/>
            <w:szCs w:val="18"/>
            <w:lang w:val="en-US"/>
          </w:rPr>
          <w:t>Article 2 under Law Nº 29782</w:t>
        </w:r>
      </w:hyperlink>
      <w:r w:rsidRPr="000A58B2">
        <w:rPr>
          <w:bCs/>
          <w:sz w:val="18"/>
          <w:szCs w:val="18"/>
          <w:lang w:val="en-US"/>
        </w:rPr>
        <w:t>.</w:t>
      </w:r>
    </w:p>
    <w:p w:rsidR="00A81D0E"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11.-</w:t>
      </w:r>
      <w:r w:rsidRPr="000A58B2">
        <w:rPr>
          <w:bCs/>
          <w:sz w:val="18"/>
          <w:szCs w:val="18"/>
          <w:lang w:val="en-US"/>
        </w:rPr>
        <w:t>Article</w:t>
      </w:r>
      <w:r w:rsidR="00C363AC" w:rsidRPr="000A58B2">
        <w:rPr>
          <w:bCs/>
          <w:sz w:val="18"/>
          <w:szCs w:val="18"/>
          <w:lang w:val="en-US"/>
        </w:rPr>
        <w:t>abrogated by the Fourth Modified Complementary Disposition under Law Nº 29782</w:t>
      </w:r>
      <w:r w:rsidR="00A81D0E" w:rsidRPr="000A58B2">
        <w:rPr>
          <w:bCs/>
          <w:sz w:val="18"/>
          <w:szCs w:val="18"/>
          <w:lang w:val="en-US"/>
        </w:rPr>
        <w:t>.</w:t>
      </w:r>
    </w:p>
    <w:p w:rsidR="00A81D0E"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12.-</w:t>
      </w:r>
      <w:r w:rsidR="00C363AC" w:rsidRPr="000A58B2">
        <w:rPr>
          <w:bCs/>
          <w:sz w:val="18"/>
          <w:szCs w:val="18"/>
          <w:lang w:val="en-US"/>
        </w:rPr>
        <w:t xml:space="preserve"> Article abrogated by the Fourth Modified Complementary Disposition under Law Nº 29782</w:t>
      </w:r>
      <w:r w:rsidR="00A81D0E" w:rsidRPr="000A58B2">
        <w:rPr>
          <w:bCs/>
          <w:sz w:val="18"/>
          <w:szCs w:val="18"/>
          <w:lang w:val="en-US"/>
        </w:rPr>
        <w:t>.</w:t>
      </w:r>
    </w:p>
    <w:p w:rsidR="000E4FE2" w:rsidRPr="000A58B2" w:rsidRDefault="00CD02B0" w:rsidP="00A81D0E">
      <w:pPr>
        <w:spacing w:before="100" w:beforeAutospacing="1" w:afterAutospacing="1"/>
        <w:rPr>
          <w:b/>
          <w:bCs/>
          <w:iCs/>
          <w:lang w:val="en-US"/>
        </w:rPr>
      </w:pPr>
      <w:r w:rsidRPr="000A58B2">
        <w:rPr>
          <w:b/>
          <w:bCs/>
          <w:i/>
          <w:iCs/>
          <w:lang w:val="en-US"/>
        </w:rPr>
        <w:t>Article</w:t>
      </w:r>
      <w:r w:rsidR="00A81D0E" w:rsidRPr="000A58B2">
        <w:rPr>
          <w:b/>
          <w:bCs/>
          <w:i/>
          <w:iCs/>
          <w:lang w:val="en-US"/>
        </w:rPr>
        <w:t xml:space="preserve">13.- </w:t>
      </w:r>
      <w:r w:rsidR="00C363AC" w:rsidRPr="000A58B2">
        <w:rPr>
          <w:bCs/>
          <w:sz w:val="18"/>
          <w:szCs w:val="18"/>
          <w:lang w:val="en-US"/>
        </w:rPr>
        <w:t>Article abrogated by the Fourth Modified Complementary Disposition under Law Nº 29782</w:t>
      </w:r>
      <w:r w:rsidR="00A81D0E" w:rsidRPr="000A58B2">
        <w:rPr>
          <w:bCs/>
          <w:iCs/>
          <w:sz w:val="18"/>
          <w:szCs w:val="18"/>
          <w:lang w:val="en-US"/>
        </w:rPr>
        <w:t>.</w:t>
      </w:r>
    </w:p>
    <w:p w:rsidR="000E4FE2" w:rsidRPr="000A58B2" w:rsidRDefault="000E4FE2" w:rsidP="00B605A7">
      <w:pPr>
        <w:spacing w:before="100" w:beforeAutospacing="1" w:afterAutospacing="1"/>
        <w:jc w:val="center"/>
        <w:rPr>
          <w:b/>
          <w:bCs/>
          <w:highlight w:val="magenta"/>
          <w:lang w:val="en-US"/>
        </w:rPr>
      </w:pPr>
    </w:p>
    <w:p w:rsidR="00A81D0E" w:rsidRPr="004D66B1" w:rsidRDefault="00B06D99" w:rsidP="00B605A7">
      <w:pPr>
        <w:pStyle w:val="Ttulo1"/>
        <w:rPr>
          <w:rFonts w:ascii="Arial Narrow" w:hAnsi="Arial Narrow"/>
          <w:sz w:val="22"/>
          <w:szCs w:val="22"/>
          <w:lang w:val="en-US"/>
        </w:rPr>
      </w:pPr>
      <w:bookmarkStart w:id="8" w:name="_Toc440386584"/>
      <w:r w:rsidRPr="002630F7">
        <w:rPr>
          <w:rFonts w:ascii="Arial Narrow" w:hAnsi="Arial Narrow"/>
          <w:sz w:val="22"/>
          <w:szCs w:val="22"/>
          <w:lang w:val="en-US"/>
        </w:rPr>
        <w:t>TITLE</w:t>
      </w:r>
      <w:r w:rsidR="00A81D0E" w:rsidRPr="002630F7">
        <w:rPr>
          <w:rFonts w:ascii="Arial Narrow" w:hAnsi="Arial Narrow"/>
          <w:sz w:val="22"/>
          <w:szCs w:val="22"/>
          <w:lang w:val="en-US"/>
        </w:rPr>
        <w:t xml:space="preserve"> III</w:t>
      </w:r>
      <w:bookmarkEnd w:id="8"/>
    </w:p>
    <w:p w:rsidR="00A81D0E" w:rsidRPr="002630F7" w:rsidRDefault="00695293" w:rsidP="00B605A7">
      <w:pPr>
        <w:pStyle w:val="Ttulo1"/>
        <w:rPr>
          <w:rFonts w:ascii="Arial Narrow" w:hAnsi="Arial Narrow"/>
          <w:sz w:val="22"/>
          <w:szCs w:val="22"/>
          <w:lang w:val="en-US"/>
        </w:rPr>
      </w:pPr>
      <w:bookmarkStart w:id="9" w:name="_Toc440386585"/>
      <w:r w:rsidRPr="002630F7">
        <w:rPr>
          <w:rFonts w:ascii="Arial Narrow" w:hAnsi="Arial Narrow"/>
          <w:sz w:val="22"/>
          <w:szCs w:val="22"/>
          <w:lang w:val="en-US"/>
        </w:rPr>
        <w:t>GENERAL MANAGER</w:t>
      </w:r>
      <w:bookmarkEnd w:id="9"/>
    </w:p>
    <w:p w:rsidR="000E4FE2"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14</w:t>
      </w:r>
      <w:bookmarkStart w:id="10" w:name="OLE_LINK1"/>
      <w:bookmarkStart w:id="11" w:name="OLE_LINK2"/>
      <w:r w:rsidR="00A81D0E" w:rsidRPr="000A58B2">
        <w:rPr>
          <w:bCs/>
          <w:sz w:val="18"/>
          <w:szCs w:val="18"/>
          <w:lang w:val="en-US"/>
        </w:rPr>
        <w:t>.-</w:t>
      </w:r>
      <w:bookmarkEnd w:id="10"/>
      <w:bookmarkEnd w:id="11"/>
      <w:r w:rsidR="00A81D0E" w:rsidRPr="000A58B2">
        <w:rPr>
          <w:bCs/>
          <w:sz w:val="18"/>
          <w:szCs w:val="18"/>
          <w:lang w:val="en-US"/>
        </w:rPr>
        <w:t xml:space="preserve"> </w:t>
      </w:r>
      <w:r w:rsidR="00695293" w:rsidRPr="000A58B2">
        <w:rPr>
          <w:bCs/>
          <w:sz w:val="18"/>
          <w:szCs w:val="18"/>
          <w:lang w:val="en-US"/>
        </w:rPr>
        <w:t>Article abrogated by the Fourth Modified Complementary Disposition under Law Nº 29782</w:t>
      </w:r>
      <w:r w:rsidR="00A81D0E" w:rsidRPr="000A58B2">
        <w:rPr>
          <w:bCs/>
          <w:sz w:val="18"/>
          <w:szCs w:val="18"/>
          <w:lang w:val="en-US"/>
        </w:rPr>
        <w:t>.</w:t>
      </w:r>
    </w:p>
    <w:p w:rsidR="000E4FE2"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15.-</w:t>
      </w:r>
      <w:r w:rsidR="00695293" w:rsidRPr="000A58B2">
        <w:rPr>
          <w:bCs/>
          <w:sz w:val="18"/>
          <w:szCs w:val="18"/>
          <w:lang w:val="en-US"/>
        </w:rPr>
        <w:t xml:space="preserve"> Article abrogated by the Fourth Modified Complementary Disposition under Law Nº 29782</w:t>
      </w:r>
      <w:r w:rsidR="00A81D0E" w:rsidRPr="000A58B2">
        <w:rPr>
          <w:bCs/>
          <w:sz w:val="18"/>
          <w:szCs w:val="18"/>
          <w:lang w:val="en-US"/>
        </w:rPr>
        <w:t xml:space="preserve">. </w:t>
      </w:r>
    </w:p>
    <w:p w:rsidR="000E4FE2"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16.-</w:t>
      </w:r>
      <w:r w:rsidR="00695293" w:rsidRPr="000A58B2">
        <w:rPr>
          <w:bCs/>
          <w:sz w:val="18"/>
          <w:szCs w:val="18"/>
          <w:lang w:val="en-US"/>
        </w:rPr>
        <w:t xml:space="preserve"> Article abrogated by the Fourth Modified Complementary Disposition under Law Nº 29782</w:t>
      </w:r>
      <w:r w:rsidR="00A81D0E" w:rsidRPr="000A58B2">
        <w:rPr>
          <w:bCs/>
          <w:sz w:val="18"/>
          <w:szCs w:val="18"/>
          <w:lang w:val="en-US"/>
        </w:rPr>
        <w:t xml:space="preserve">. </w:t>
      </w:r>
    </w:p>
    <w:p w:rsidR="000E4FE2"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17.-</w:t>
      </w:r>
      <w:r w:rsidR="00695293" w:rsidRPr="000A58B2">
        <w:rPr>
          <w:bCs/>
          <w:sz w:val="18"/>
          <w:szCs w:val="18"/>
          <w:lang w:val="en-US"/>
        </w:rPr>
        <w:t xml:space="preserve"> Article abrogated by the Fourth Modified Complementary Disposition under Law Nº 29782</w:t>
      </w:r>
      <w:r w:rsidR="00A81D0E" w:rsidRPr="000A58B2">
        <w:rPr>
          <w:bCs/>
          <w:sz w:val="18"/>
          <w:szCs w:val="18"/>
          <w:lang w:val="en-US"/>
        </w:rPr>
        <w:t>.</w:t>
      </w:r>
    </w:p>
    <w:p w:rsidR="000E4FE2" w:rsidRPr="000A58B2" w:rsidRDefault="000E4FE2" w:rsidP="00A81D0E">
      <w:pPr>
        <w:spacing w:before="100" w:beforeAutospacing="1" w:afterAutospacing="1"/>
        <w:rPr>
          <w:b/>
          <w:bCs/>
          <w:lang w:val="en-US"/>
        </w:rPr>
      </w:pPr>
    </w:p>
    <w:p w:rsidR="00A81D0E" w:rsidRPr="00B76ED7" w:rsidRDefault="00B06D99" w:rsidP="00B605A7">
      <w:pPr>
        <w:pStyle w:val="Ttulo1"/>
        <w:rPr>
          <w:rFonts w:ascii="Arial Narrow" w:hAnsi="Arial Narrow"/>
          <w:sz w:val="22"/>
          <w:szCs w:val="22"/>
          <w:lang w:val="en-US"/>
        </w:rPr>
      </w:pPr>
      <w:bookmarkStart w:id="12" w:name="_Toc440386586"/>
      <w:r w:rsidRPr="00B76ED7">
        <w:rPr>
          <w:rFonts w:ascii="Arial Narrow" w:hAnsi="Arial Narrow"/>
          <w:sz w:val="22"/>
          <w:szCs w:val="22"/>
          <w:lang w:val="en-US"/>
        </w:rPr>
        <w:t>TITLE</w:t>
      </w:r>
      <w:r w:rsidR="00A81D0E" w:rsidRPr="00B76ED7">
        <w:rPr>
          <w:rFonts w:ascii="Arial Narrow" w:hAnsi="Arial Narrow"/>
          <w:sz w:val="22"/>
          <w:szCs w:val="22"/>
          <w:lang w:val="en-US"/>
        </w:rPr>
        <w:t xml:space="preserve"> IV</w:t>
      </w:r>
      <w:bookmarkEnd w:id="12"/>
    </w:p>
    <w:p w:rsidR="00A81D0E" w:rsidRPr="00B76ED7" w:rsidRDefault="00695293" w:rsidP="00B605A7">
      <w:pPr>
        <w:pStyle w:val="Ttulo1"/>
        <w:rPr>
          <w:rFonts w:ascii="Arial Narrow" w:hAnsi="Arial Narrow"/>
          <w:sz w:val="22"/>
          <w:szCs w:val="22"/>
          <w:lang w:val="en-US"/>
        </w:rPr>
      </w:pPr>
      <w:bookmarkStart w:id="13" w:name="_Toc440386587"/>
      <w:r w:rsidRPr="00B76ED7">
        <w:rPr>
          <w:rFonts w:ascii="Arial Narrow" w:hAnsi="Arial Narrow"/>
          <w:sz w:val="22"/>
          <w:szCs w:val="22"/>
          <w:lang w:val="en-US"/>
        </w:rPr>
        <w:t>ECONOMIC AND FINANCIAL REGIME</w:t>
      </w:r>
      <w:bookmarkEnd w:id="13"/>
    </w:p>
    <w:p w:rsidR="00A81D0E" w:rsidRPr="00AE7992" w:rsidRDefault="00CD02B0" w:rsidP="00A81D0E">
      <w:pPr>
        <w:spacing w:before="100" w:beforeAutospacing="1" w:afterAutospacing="1"/>
        <w:rPr>
          <w:lang w:val="en-US"/>
        </w:rPr>
      </w:pPr>
      <w:r w:rsidRPr="00AE7992">
        <w:rPr>
          <w:rFonts w:cs="Arial"/>
          <w:b/>
          <w:bCs/>
          <w:lang w:val="en-US"/>
        </w:rPr>
        <w:t>Article</w:t>
      </w:r>
      <w:r w:rsidR="00A81D0E" w:rsidRPr="00AE7992">
        <w:rPr>
          <w:rFonts w:cs="Arial"/>
          <w:b/>
          <w:bCs/>
          <w:lang w:val="en-US"/>
        </w:rPr>
        <w:t xml:space="preserve"> 18.- </w:t>
      </w:r>
      <w:r w:rsidR="00695293" w:rsidRPr="00AE7992">
        <w:rPr>
          <w:rFonts w:cs="Arial"/>
          <w:lang w:val="en-US"/>
        </w:rPr>
        <w:t>Contributions</w:t>
      </w:r>
      <w:r w:rsidR="00A81D0E" w:rsidRPr="00AE7992">
        <w:rPr>
          <w:rFonts w:cs="Arial"/>
          <w:lang w:val="en-US"/>
        </w:rPr>
        <w:t xml:space="preserve"> (*)</w:t>
      </w:r>
    </w:p>
    <w:p w:rsidR="00A81D0E" w:rsidRPr="000A58B2" w:rsidRDefault="00BD1601" w:rsidP="00A81D0E">
      <w:pPr>
        <w:spacing w:before="100" w:beforeAutospacing="1" w:afterAutospacing="1"/>
        <w:rPr>
          <w:lang w:val="en-US"/>
        </w:rPr>
      </w:pPr>
      <w:r>
        <w:rPr>
          <w:lang w:val="en-US"/>
        </w:rPr>
        <w:t>SMV</w:t>
      </w:r>
      <w:r w:rsidRPr="00AE7992">
        <w:rPr>
          <w:lang w:val="en-US"/>
        </w:rPr>
        <w:t xml:space="preserve"> </w:t>
      </w:r>
      <w:r w:rsidR="00695293" w:rsidRPr="00AE7992">
        <w:rPr>
          <w:lang w:val="en-US"/>
        </w:rPr>
        <w:t xml:space="preserve">operating expenses are paid for </w:t>
      </w:r>
      <w:r w:rsidR="00AE7992" w:rsidRPr="00AE7992">
        <w:rPr>
          <w:lang w:val="en-US"/>
        </w:rPr>
        <w:t>from</w:t>
      </w:r>
      <w:r w:rsidR="00695293" w:rsidRPr="00AE7992">
        <w:rPr>
          <w:lang w:val="en-US"/>
        </w:rPr>
        <w:t xml:space="preserve"> the contributions it charges for the oversight services it provides, </w:t>
      </w:r>
      <w:r w:rsidR="00AE7992">
        <w:rPr>
          <w:lang w:val="en-US"/>
        </w:rPr>
        <w:t xml:space="preserve">in addition to </w:t>
      </w:r>
      <w:r w:rsidR="00695293" w:rsidRPr="00AE7992">
        <w:rPr>
          <w:lang w:val="en-US"/>
        </w:rPr>
        <w:t xml:space="preserve">fees charged for administrative procedures determined in the </w:t>
      </w:r>
      <w:r w:rsidR="00A81D0E" w:rsidRPr="00AE7992">
        <w:rPr>
          <w:lang w:val="en-US"/>
        </w:rPr>
        <w:t>TUPA.</w:t>
      </w:r>
    </w:p>
    <w:p w:rsidR="00A81D0E" w:rsidRPr="000A58B2" w:rsidRDefault="00695293" w:rsidP="00A81D0E">
      <w:pPr>
        <w:spacing w:before="100" w:beforeAutospacing="1" w:afterAutospacing="1"/>
        <w:rPr>
          <w:lang w:val="en-US"/>
        </w:rPr>
      </w:pPr>
      <w:r w:rsidRPr="000A58B2">
        <w:rPr>
          <w:lang w:val="en-US"/>
        </w:rPr>
        <w:t>Contributions are determined as follows</w:t>
      </w:r>
      <w:r w:rsidR="00A81D0E" w:rsidRPr="000A58B2">
        <w:rPr>
          <w:lang w:val="en-US"/>
        </w:rPr>
        <w:t>:</w:t>
      </w:r>
    </w:p>
    <w:p w:rsidR="00A81D0E" w:rsidRPr="000A58B2" w:rsidRDefault="00A81D0E" w:rsidP="00A81D0E">
      <w:pPr>
        <w:spacing w:before="100" w:beforeAutospacing="1" w:afterAutospacing="1"/>
        <w:rPr>
          <w:lang w:val="en-US"/>
        </w:rPr>
      </w:pPr>
      <w:r w:rsidRPr="000A58B2">
        <w:rPr>
          <w:lang w:val="en-US"/>
        </w:rPr>
        <w:lastRenderedPageBreak/>
        <w:t xml:space="preserve">a) </w:t>
      </w:r>
      <w:r w:rsidR="00695293" w:rsidRPr="000A58B2">
        <w:rPr>
          <w:lang w:val="en-US"/>
        </w:rPr>
        <w:t>Principals will pay zero point zero percent of the effectively traded amount</w:t>
      </w:r>
      <w:r w:rsidR="00BD1601" w:rsidRPr="000A58B2">
        <w:rPr>
          <w:lang w:val="en-US"/>
        </w:rPr>
        <w:t>.</w:t>
      </w:r>
      <w:r w:rsidR="00BD1601" w:rsidRPr="000A58B2">
        <w:rPr>
          <w:bCs/>
          <w:lang w:val="en-US"/>
        </w:rPr>
        <w:t xml:space="preserve"> (</w:t>
      </w:r>
      <w:r w:rsidRPr="000A58B2">
        <w:rPr>
          <w:bCs/>
          <w:lang w:val="en-US"/>
        </w:rPr>
        <w:t>**)</w:t>
      </w:r>
    </w:p>
    <w:p w:rsidR="00A81D0E" w:rsidRPr="000A58B2" w:rsidRDefault="00A81D0E" w:rsidP="00A81D0E">
      <w:pPr>
        <w:spacing w:before="100" w:beforeAutospacing="1" w:afterAutospacing="1"/>
        <w:rPr>
          <w:lang w:val="en-US"/>
        </w:rPr>
      </w:pPr>
      <w:r w:rsidRPr="000A58B2">
        <w:rPr>
          <w:lang w:val="en-US"/>
        </w:rPr>
        <w:t xml:space="preserve">b) </w:t>
      </w:r>
      <w:r w:rsidR="00695293" w:rsidRPr="000A58B2">
        <w:rPr>
          <w:lang w:val="en-US"/>
        </w:rPr>
        <w:t xml:space="preserve">Issuers, excepting issuers of independent patrimonies, securities investment mutual funds and investment funds, </w:t>
      </w:r>
      <w:r w:rsidR="00AE7992">
        <w:rPr>
          <w:lang w:val="en-US"/>
        </w:rPr>
        <w:t>will pay a percent of</w:t>
      </w:r>
      <w:r w:rsidR="00695293" w:rsidRPr="000A58B2">
        <w:rPr>
          <w:lang w:val="en-US"/>
        </w:rPr>
        <w:t xml:space="preserve"> the total securities subject matter to the public offering without exceeding </w:t>
      </w:r>
      <w:r w:rsidR="00AE7992">
        <w:rPr>
          <w:lang w:val="en-US"/>
        </w:rPr>
        <w:t xml:space="preserve">one </w:t>
      </w:r>
      <w:r w:rsidR="00695293" w:rsidRPr="000A58B2">
        <w:rPr>
          <w:lang w:val="en-US"/>
        </w:rPr>
        <w:t>per thousand</w:t>
      </w:r>
      <w:r w:rsidRPr="000A58B2">
        <w:rPr>
          <w:lang w:val="en-US"/>
        </w:rPr>
        <w:t xml:space="preserve"> (0</w:t>
      </w:r>
      <w:r w:rsidR="00695293" w:rsidRPr="000A58B2">
        <w:rPr>
          <w:lang w:val="en-US"/>
        </w:rPr>
        <w:t>.</w:t>
      </w:r>
      <w:r w:rsidRPr="000A58B2">
        <w:rPr>
          <w:lang w:val="en-US"/>
        </w:rPr>
        <w:t xml:space="preserve">001) </w:t>
      </w:r>
      <w:r w:rsidR="00695293" w:rsidRPr="000A58B2">
        <w:rPr>
          <w:lang w:val="en-US"/>
        </w:rPr>
        <w:t xml:space="preserve">of such amount annually. This contribution will be paid monthly. </w:t>
      </w:r>
    </w:p>
    <w:p w:rsidR="00A81D0E" w:rsidRPr="000A58B2" w:rsidRDefault="00A81D0E" w:rsidP="00A81D0E">
      <w:pPr>
        <w:spacing w:before="100" w:beforeAutospacing="1" w:afterAutospacing="1"/>
        <w:rPr>
          <w:lang w:val="en-US"/>
        </w:rPr>
      </w:pPr>
      <w:r w:rsidRPr="000A58B2">
        <w:rPr>
          <w:lang w:val="en-US"/>
        </w:rPr>
        <w:t xml:space="preserve">c) </w:t>
      </w:r>
      <w:r w:rsidR="00695293" w:rsidRPr="000A58B2">
        <w:rPr>
          <w:lang w:val="en-US"/>
        </w:rPr>
        <w:t xml:space="preserve">For independent patrimonies, securities investment mutual funds and investment funds, an amount based on the patrimonial value or the value of the fund on the last day </w:t>
      </w:r>
      <w:r w:rsidR="00AE7992">
        <w:rPr>
          <w:lang w:val="en-US"/>
        </w:rPr>
        <w:t>of each month</w:t>
      </w:r>
      <w:r w:rsidR="00695293" w:rsidRPr="000A58B2">
        <w:rPr>
          <w:lang w:val="en-US"/>
        </w:rPr>
        <w:t>.  This contribution will be paid monthly</w:t>
      </w:r>
      <w:r w:rsidRPr="000A58B2">
        <w:rPr>
          <w:lang w:val="en-US"/>
        </w:rPr>
        <w:t>;</w:t>
      </w:r>
    </w:p>
    <w:p w:rsidR="00A81D0E" w:rsidRPr="000A58B2" w:rsidRDefault="00A81D0E" w:rsidP="00A81D0E">
      <w:pPr>
        <w:spacing w:before="100" w:beforeAutospacing="1" w:afterAutospacing="1"/>
        <w:rPr>
          <w:lang w:val="en-US"/>
        </w:rPr>
      </w:pPr>
      <w:r w:rsidRPr="000A58B2">
        <w:rPr>
          <w:lang w:val="en-US"/>
        </w:rPr>
        <w:t xml:space="preserve">d) </w:t>
      </w:r>
      <w:r w:rsidR="00695293" w:rsidRPr="000A58B2">
        <w:rPr>
          <w:lang w:val="en-US"/>
        </w:rPr>
        <w:t xml:space="preserve">For collective funds, the contribution shall not exceed one per thousand </w:t>
      </w:r>
      <w:r w:rsidR="00B43FE4" w:rsidRPr="000A58B2">
        <w:rPr>
          <w:lang w:val="en-US"/>
        </w:rPr>
        <w:t>annually</w:t>
      </w:r>
      <w:r w:rsidR="00695293" w:rsidRPr="000A58B2">
        <w:rPr>
          <w:lang w:val="en-US"/>
        </w:rPr>
        <w:t>, calculated on the active value of the fund</w:t>
      </w:r>
      <w:r w:rsidR="00B43FE4" w:rsidRPr="000A58B2">
        <w:rPr>
          <w:lang w:val="en-US"/>
        </w:rPr>
        <w:t xml:space="preserve"> o</w:t>
      </w:r>
      <w:r w:rsidR="00695293" w:rsidRPr="000A58B2">
        <w:rPr>
          <w:lang w:val="en-US"/>
        </w:rPr>
        <w:t>n the last day of every month</w:t>
      </w:r>
      <w:r w:rsidRPr="000A58B2">
        <w:rPr>
          <w:lang w:val="en-US"/>
        </w:rPr>
        <w:t xml:space="preserve">. </w:t>
      </w:r>
      <w:r w:rsidR="00695293" w:rsidRPr="000A58B2">
        <w:rPr>
          <w:lang w:val="en-US"/>
        </w:rPr>
        <w:t>This contribution will be paid monthly</w:t>
      </w:r>
      <w:r w:rsidRPr="000A58B2">
        <w:rPr>
          <w:lang w:val="en-US"/>
        </w:rPr>
        <w:t xml:space="preserve">; </w:t>
      </w:r>
      <w:r w:rsidR="00695293" w:rsidRPr="000A58B2">
        <w:rPr>
          <w:lang w:val="en-US"/>
        </w:rPr>
        <w:t>and</w:t>
      </w:r>
      <w:r w:rsidRPr="000A58B2">
        <w:rPr>
          <w:lang w:val="en-US"/>
        </w:rPr>
        <w:t>,</w:t>
      </w:r>
    </w:p>
    <w:p w:rsidR="00A81D0E" w:rsidRPr="000A58B2" w:rsidRDefault="00A81D0E" w:rsidP="00A81D0E">
      <w:pPr>
        <w:spacing w:before="100" w:beforeAutospacing="1" w:afterAutospacing="1"/>
        <w:rPr>
          <w:lang w:val="en-US"/>
        </w:rPr>
      </w:pPr>
      <w:r w:rsidRPr="000A58B2">
        <w:rPr>
          <w:rFonts w:cs="Arial"/>
          <w:lang w:val="en-US"/>
        </w:rPr>
        <w:t xml:space="preserve">e) </w:t>
      </w:r>
      <w:r w:rsidR="00695293" w:rsidRPr="000A58B2">
        <w:rPr>
          <w:rFonts w:cs="Arial"/>
          <w:lang w:val="en-US"/>
        </w:rPr>
        <w:t xml:space="preserve">For stock exchanges, clearance and security liquidation </w:t>
      </w:r>
      <w:r w:rsidR="00BD1601">
        <w:rPr>
          <w:rFonts w:cs="Arial"/>
          <w:lang w:val="en-US"/>
        </w:rPr>
        <w:t>entities</w:t>
      </w:r>
      <w:r w:rsidR="006D3560" w:rsidRPr="000A58B2">
        <w:rPr>
          <w:rFonts w:cs="Arial"/>
          <w:lang w:val="en-US"/>
        </w:rPr>
        <w:t xml:space="preserve">, risk rating agencies, security investment mutual fund administration </w:t>
      </w:r>
      <w:r w:rsidR="00BD1601">
        <w:rPr>
          <w:rFonts w:cs="Arial"/>
          <w:lang w:val="en-US"/>
        </w:rPr>
        <w:t>companies</w:t>
      </w:r>
      <w:r w:rsidR="006D3560" w:rsidRPr="000A58B2">
        <w:rPr>
          <w:rFonts w:cs="Arial"/>
          <w:lang w:val="en-US"/>
        </w:rPr>
        <w:t>, invest</w:t>
      </w:r>
      <w:r w:rsidR="00AE7992">
        <w:rPr>
          <w:rFonts w:cs="Arial"/>
          <w:lang w:val="en-US"/>
        </w:rPr>
        <w:t>ment fund administration societies</w:t>
      </w:r>
      <w:r w:rsidR="006D3560" w:rsidRPr="000A58B2">
        <w:rPr>
          <w:rFonts w:cs="Arial"/>
          <w:lang w:val="en-US"/>
        </w:rPr>
        <w:t>, brokerages, security intermedia</w:t>
      </w:r>
      <w:r w:rsidR="00BD1601">
        <w:rPr>
          <w:rFonts w:cs="Arial"/>
          <w:lang w:val="en-US"/>
        </w:rPr>
        <w:t>ry</w:t>
      </w:r>
      <w:r w:rsidR="006D3560" w:rsidRPr="000A58B2">
        <w:rPr>
          <w:rFonts w:cs="Arial"/>
          <w:lang w:val="en-US"/>
        </w:rPr>
        <w:t xml:space="preserve"> </w:t>
      </w:r>
      <w:r w:rsidR="00BD1601">
        <w:rPr>
          <w:rFonts w:cs="Arial"/>
          <w:lang w:val="en-US"/>
        </w:rPr>
        <w:t>companies</w:t>
      </w:r>
      <w:r w:rsidR="006D3560" w:rsidRPr="000A58B2">
        <w:rPr>
          <w:rFonts w:cs="Arial"/>
          <w:lang w:val="en-US"/>
        </w:rPr>
        <w:t>, securitiz</w:t>
      </w:r>
      <w:r w:rsidR="00BD1601">
        <w:rPr>
          <w:rFonts w:cs="Arial"/>
          <w:lang w:val="en-US"/>
        </w:rPr>
        <w:t>ation</w:t>
      </w:r>
      <w:r w:rsidR="006D3560" w:rsidRPr="000A58B2">
        <w:rPr>
          <w:rFonts w:cs="Arial"/>
          <w:lang w:val="en-US"/>
        </w:rPr>
        <w:t xml:space="preserve"> </w:t>
      </w:r>
      <w:r w:rsidR="00BD1601">
        <w:rPr>
          <w:rFonts w:cs="Arial"/>
          <w:lang w:val="en-US"/>
        </w:rPr>
        <w:t>companies</w:t>
      </w:r>
      <w:r w:rsidR="006D3560" w:rsidRPr="000A58B2">
        <w:rPr>
          <w:rFonts w:cs="Arial"/>
          <w:lang w:val="en-US"/>
        </w:rPr>
        <w:t xml:space="preserve">, product exchanges, product brokerages, price supplier companies, collective fund administration companies and other entities authorized by the </w:t>
      </w:r>
      <w:r w:rsidR="00AE7992">
        <w:rPr>
          <w:rFonts w:cs="Arial"/>
          <w:lang w:val="en-US"/>
        </w:rPr>
        <w:t>SMV</w:t>
      </w:r>
      <w:r w:rsidRPr="000A58B2">
        <w:rPr>
          <w:rFonts w:cs="Arial"/>
          <w:lang w:val="en-US"/>
        </w:rPr>
        <w:t xml:space="preserve"> (</w:t>
      </w:r>
      <w:r w:rsidR="00B43FE4" w:rsidRPr="000A58B2">
        <w:rPr>
          <w:rFonts w:cs="Arial"/>
          <w:lang w:val="en-US"/>
        </w:rPr>
        <w:t>hereafter</w:t>
      </w:r>
      <w:r w:rsidR="006D3560" w:rsidRPr="000A58B2">
        <w:rPr>
          <w:rFonts w:cs="Arial"/>
          <w:lang w:val="en-US"/>
        </w:rPr>
        <w:t xml:space="preserve"> the “entities”</w:t>
      </w:r>
      <w:r w:rsidRPr="000A58B2">
        <w:rPr>
          <w:rFonts w:cs="Arial"/>
          <w:lang w:val="en-US"/>
        </w:rPr>
        <w:t>)</w:t>
      </w:r>
      <w:r w:rsidR="006D3560" w:rsidRPr="000A58B2">
        <w:rPr>
          <w:rFonts w:cs="Arial"/>
          <w:lang w:val="en-US"/>
        </w:rPr>
        <w:t xml:space="preserve">, the contribution will be equivalent to the smaller amount between one point five percent of the </w:t>
      </w:r>
      <w:r w:rsidR="00B43FE4" w:rsidRPr="000A58B2">
        <w:rPr>
          <w:rFonts w:cs="Arial"/>
          <w:lang w:val="en-US"/>
        </w:rPr>
        <w:t>annual</w:t>
      </w:r>
      <w:r w:rsidR="006D3560" w:rsidRPr="000A58B2">
        <w:rPr>
          <w:rFonts w:cs="Arial"/>
          <w:lang w:val="en-US"/>
        </w:rPr>
        <w:t xml:space="preserve"> revenues resulting from the entity’s main </w:t>
      </w:r>
      <w:r w:rsidR="00B43FE4" w:rsidRPr="000A58B2">
        <w:rPr>
          <w:rFonts w:cs="Arial"/>
          <w:lang w:val="en-US"/>
        </w:rPr>
        <w:t>activity</w:t>
      </w:r>
      <w:r w:rsidR="006D3560" w:rsidRPr="000A58B2">
        <w:rPr>
          <w:rFonts w:cs="Arial"/>
          <w:lang w:val="en-US"/>
        </w:rPr>
        <w:t>, as shown in the audited annual financial statements corresponding to the contribution and the amount of tax units (</w:t>
      </w:r>
      <w:r w:rsidRPr="000A58B2">
        <w:rPr>
          <w:rFonts w:cs="Arial"/>
          <w:lang w:val="en-US"/>
        </w:rPr>
        <w:t>UIT</w:t>
      </w:r>
      <w:r w:rsidR="00AE7992">
        <w:rPr>
          <w:rFonts w:cs="Arial"/>
          <w:lang w:val="en-US"/>
        </w:rPr>
        <w:t>s</w:t>
      </w:r>
      <w:r w:rsidRPr="000A58B2">
        <w:rPr>
          <w:rFonts w:cs="Arial"/>
          <w:lang w:val="en-US"/>
        </w:rPr>
        <w:t xml:space="preserve">) </w:t>
      </w:r>
      <w:r w:rsidR="006D3560" w:rsidRPr="000A58B2">
        <w:rPr>
          <w:rFonts w:cs="Arial"/>
          <w:lang w:val="en-US"/>
        </w:rPr>
        <w:t xml:space="preserve">which are paid </w:t>
      </w:r>
      <w:r w:rsidR="00B43FE4" w:rsidRPr="000A58B2">
        <w:rPr>
          <w:rFonts w:cs="Arial"/>
          <w:lang w:val="en-US"/>
        </w:rPr>
        <w:t>annually</w:t>
      </w:r>
      <w:r w:rsidR="006D3560" w:rsidRPr="000A58B2">
        <w:rPr>
          <w:rFonts w:cs="Arial"/>
          <w:lang w:val="en-US"/>
        </w:rPr>
        <w:t xml:space="preserve"> and listed below</w:t>
      </w:r>
      <w:r w:rsidRPr="000A58B2">
        <w:rPr>
          <w:rFonts w:cs="Arial"/>
          <w:lang w:val="en-US"/>
        </w:rPr>
        <w:t xml:space="preserve">: </w:t>
      </w:r>
      <w:r w:rsidR="006D3560" w:rsidRPr="000A58B2">
        <w:rPr>
          <w:rFonts w:cs="Arial"/>
          <w:lang w:val="en-US"/>
        </w:rPr>
        <w:t>stock exchanges and product exchanges: forty eight</w:t>
      </w:r>
      <w:r w:rsidRPr="000A58B2">
        <w:rPr>
          <w:rFonts w:cs="Arial"/>
          <w:lang w:val="en-US"/>
        </w:rPr>
        <w:t xml:space="preserve"> (48)</w:t>
      </w:r>
      <w:r w:rsidR="00AB39C1">
        <w:rPr>
          <w:rFonts w:cs="Arial"/>
          <w:lang w:val="en-US"/>
        </w:rPr>
        <w:t xml:space="preserve"> </w:t>
      </w:r>
      <w:r w:rsidR="00AE7992">
        <w:rPr>
          <w:rFonts w:cs="Arial"/>
          <w:lang w:val="en-US"/>
        </w:rPr>
        <w:t>UITs annually or four UITs per month</w:t>
      </w:r>
      <w:r w:rsidRPr="000A58B2">
        <w:rPr>
          <w:rFonts w:cs="Arial"/>
          <w:lang w:val="en-US"/>
        </w:rPr>
        <w:t xml:space="preserve">; </w:t>
      </w:r>
      <w:r w:rsidR="006D3560" w:rsidRPr="000A58B2">
        <w:rPr>
          <w:rFonts w:cs="Arial"/>
          <w:lang w:val="en-US"/>
        </w:rPr>
        <w:t xml:space="preserve">security clearance and </w:t>
      </w:r>
      <w:r w:rsidR="00B43FE4" w:rsidRPr="000A58B2">
        <w:rPr>
          <w:rFonts w:cs="Arial"/>
          <w:lang w:val="en-US"/>
        </w:rPr>
        <w:t>settlement</w:t>
      </w:r>
      <w:r w:rsidR="00BD1601">
        <w:rPr>
          <w:rFonts w:cs="Arial"/>
          <w:lang w:val="en-US"/>
        </w:rPr>
        <w:t xml:space="preserve"> </w:t>
      </w:r>
      <w:r w:rsidR="00B43FE4" w:rsidRPr="000A58B2">
        <w:rPr>
          <w:rFonts w:cs="Arial"/>
          <w:lang w:val="en-US"/>
        </w:rPr>
        <w:t>institutions</w:t>
      </w:r>
      <w:r w:rsidRPr="000A58B2">
        <w:rPr>
          <w:rFonts w:cs="Arial"/>
          <w:lang w:val="en-US"/>
        </w:rPr>
        <w:t xml:space="preserve">, </w:t>
      </w:r>
      <w:r w:rsidR="006D3560" w:rsidRPr="000A58B2">
        <w:rPr>
          <w:rFonts w:cs="Arial"/>
          <w:lang w:val="en-US"/>
        </w:rPr>
        <w:t xml:space="preserve">security investment mutual fund administrator </w:t>
      </w:r>
      <w:r w:rsidR="00BD1601">
        <w:rPr>
          <w:rFonts w:cs="Arial"/>
          <w:lang w:val="en-US"/>
        </w:rPr>
        <w:t>companies</w:t>
      </w:r>
      <w:r w:rsidR="006D3560" w:rsidRPr="000A58B2">
        <w:rPr>
          <w:rFonts w:cs="Arial"/>
          <w:lang w:val="en-US"/>
        </w:rPr>
        <w:t xml:space="preserve">, investment fund administration </w:t>
      </w:r>
      <w:r w:rsidR="00BD1601">
        <w:rPr>
          <w:rFonts w:cs="Arial"/>
          <w:lang w:val="en-US"/>
        </w:rPr>
        <w:t>companies</w:t>
      </w:r>
      <w:r w:rsidR="006D3560" w:rsidRPr="000A58B2">
        <w:rPr>
          <w:rFonts w:cs="Arial"/>
          <w:lang w:val="en-US"/>
        </w:rPr>
        <w:t>, securitiz</w:t>
      </w:r>
      <w:r w:rsidR="00BD1601">
        <w:rPr>
          <w:rFonts w:cs="Arial"/>
          <w:lang w:val="en-US"/>
        </w:rPr>
        <w:t>ation</w:t>
      </w:r>
      <w:r w:rsidR="006D3560" w:rsidRPr="000A58B2">
        <w:rPr>
          <w:rFonts w:cs="Arial"/>
          <w:lang w:val="en-US"/>
        </w:rPr>
        <w:t xml:space="preserve"> </w:t>
      </w:r>
      <w:r w:rsidR="00BD1601">
        <w:rPr>
          <w:rFonts w:cs="Arial"/>
          <w:lang w:val="en-US"/>
        </w:rPr>
        <w:t>companies</w:t>
      </w:r>
      <w:r w:rsidR="00BD1601" w:rsidRPr="000A58B2">
        <w:rPr>
          <w:rFonts w:cs="Arial"/>
          <w:lang w:val="en-US"/>
        </w:rPr>
        <w:t xml:space="preserve"> </w:t>
      </w:r>
      <w:r w:rsidR="006D3560" w:rsidRPr="000A58B2">
        <w:rPr>
          <w:rFonts w:cs="Arial"/>
          <w:lang w:val="en-US"/>
        </w:rPr>
        <w:t>and collective fund</w:t>
      </w:r>
      <w:r w:rsidR="00BD1601">
        <w:rPr>
          <w:rFonts w:cs="Arial"/>
          <w:lang w:val="en-US"/>
        </w:rPr>
        <w:t>s</w:t>
      </w:r>
      <w:r w:rsidR="006D3560" w:rsidRPr="000A58B2">
        <w:rPr>
          <w:rFonts w:cs="Arial"/>
          <w:lang w:val="en-US"/>
        </w:rPr>
        <w:t xml:space="preserve"> administration companies: twenty four (24) tax unit</w:t>
      </w:r>
      <w:r w:rsidRPr="000A58B2">
        <w:rPr>
          <w:rFonts w:cs="Arial"/>
          <w:lang w:val="en-US"/>
        </w:rPr>
        <w:t xml:space="preserve"> (UIT), </w:t>
      </w:r>
      <w:r w:rsidR="00AE7992">
        <w:rPr>
          <w:rFonts w:cs="Arial"/>
          <w:lang w:val="en-US"/>
        </w:rPr>
        <w:t>or</w:t>
      </w:r>
      <w:r w:rsidR="006D3560" w:rsidRPr="000A58B2">
        <w:rPr>
          <w:rFonts w:cs="Arial"/>
          <w:lang w:val="en-US"/>
        </w:rPr>
        <w:t xml:space="preserve"> two</w:t>
      </w:r>
      <w:r w:rsidRPr="000A58B2">
        <w:rPr>
          <w:rFonts w:cs="Arial"/>
          <w:lang w:val="en-US"/>
        </w:rPr>
        <w:t xml:space="preserve"> (2) </w:t>
      </w:r>
      <w:r w:rsidR="006D3560" w:rsidRPr="000A58B2">
        <w:rPr>
          <w:rFonts w:cs="Arial"/>
          <w:lang w:val="en-US"/>
        </w:rPr>
        <w:t>monthly tax units</w:t>
      </w:r>
      <w:r w:rsidRPr="000A58B2">
        <w:rPr>
          <w:rFonts w:cs="Arial"/>
          <w:lang w:val="en-US"/>
        </w:rPr>
        <w:t xml:space="preserve"> (UIT); </w:t>
      </w:r>
      <w:r w:rsidR="006D3560" w:rsidRPr="000A58B2">
        <w:rPr>
          <w:rFonts w:cs="Arial"/>
          <w:lang w:val="en-US"/>
        </w:rPr>
        <w:t>brokerages and product brokerages</w:t>
      </w:r>
      <w:r w:rsidRPr="000A58B2">
        <w:rPr>
          <w:rFonts w:cs="Arial"/>
          <w:lang w:val="en-US"/>
        </w:rPr>
        <w:t xml:space="preserve">: </w:t>
      </w:r>
      <w:r w:rsidR="006D3560" w:rsidRPr="000A58B2">
        <w:rPr>
          <w:rFonts w:cs="Arial"/>
          <w:lang w:val="en-US"/>
        </w:rPr>
        <w:t>thirty six</w:t>
      </w:r>
      <w:r w:rsidRPr="000A58B2">
        <w:rPr>
          <w:rFonts w:cs="Arial"/>
          <w:lang w:val="en-US"/>
        </w:rPr>
        <w:t xml:space="preserve"> (36) </w:t>
      </w:r>
      <w:r w:rsidR="006D3560" w:rsidRPr="000A58B2">
        <w:rPr>
          <w:rFonts w:cs="Arial"/>
          <w:lang w:val="en-US"/>
        </w:rPr>
        <w:t>tax units</w:t>
      </w:r>
      <w:r w:rsidRPr="000A58B2">
        <w:rPr>
          <w:rFonts w:cs="Arial"/>
          <w:lang w:val="en-US"/>
        </w:rPr>
        <w:t xml:space="preserve"> (UIT), </w:t>
      </w:r>
      <w:r w:rsidR="00AE7992">
        <w:rPr>
          <w:rFonts w:cs="Arial"/>
          <w:lang w:val="en-US"/>
        </w:rPr>
        <w:t>or</w:t>
      </w:r>
      <w:r w:rsidR="006D3560" w:rsidRPr="000A58B2">
        <w:rPr>
          <w:rFonts w:cs="Arial"/>
          <w:lang w:val="en-US"/>
        </w:rPr>
        <w:t xml:space="preserve"> three</w:t>
      </w:r>
      <w:r w:rsidRPr="000A58B2">
        <w:rPr>
          <w:rFonts w:cs="Arial"/>
          <w:lang w:val="en-US"/>
        </w:rPr>
        <w:t xml:space="preserve"> (3) </w:t>
      </w:r>
      <w:r w:rsidR="006D3560" w:rsidRPr="000A58B2">
        <w:rPr>
          <w:rFonts w:cs="Arial"/>
          <w:lang w:val="en-US"/>
        </w:rPr>
        <w:t xml:space="preserve">monthly </w:t>
      </w:r>
      <w:r w:rsidRPr="000A58B2">
        <w:rPr>
          <w:rFonts w:cs="Arial"/>
          <w:lang w:val="en-US"/>
        </w:rPr>
        <w:t>UIT</w:t>
      </w:r>
      <w:r w:rsidR="00AE7992">
        <w:rPr>
          <w:rFonts w:cs="Arial"/>
          <w:lang w:val="en-US"/>
        </w:rPr>
        <w:t>s</w:t>
      </w:r>
      <w:r w:rsidRPr="000A58B2">
        <w:rPr>
          <w:rFonts w:cs="Arial"/>
          <w:lang w:val="en-US"/>
        </w:rPr>
        <w:t xml:space="preserve">; </w:t>
      </w:r>
      <w:r w:rsidR="006D3560" w:rsidRPr="000A58B2">
        <w:rPr>
          <w:rFonts w:cs="Arial"/>
          <w:lang w:val="en-US"/>
        </w:rPr>
        <w:t>risk rating agencies</w:t>
      </w:r>
      <w:r w:rsidRPr="000A58B2">
        <w:rPr>
          <w:rFonts w:cs="Arial"/>
          <w:lang w:val="en-US"/>
        </w:rPr>
        <w:t xml:space="preserve">, </w:t>
      </w:r>
      <w:r w:rsidR="006D3560" w:rsidRPr="000A58B2">
        <w:rPr>
          <w:rFonts w:cs="Arial"/>
          <w:lang w:val="en-US"/>
        </w:rPr>
        <w:t>price supplier companies and other entities supervised by SMV, three</w:t>
      </w:r>
      <w:r w:rsidR="00AE7992">
        <w:rPr>
          <w:rFonts w:cs="Arial"/>
          <w:lang w:val="en-US"/>
        </w:rPr>
        <w:t>(</w:t>
      </w:r>
      <w:r w:rsidRPr="000A58B2">
        <w:rPr>
          <w:rFonts w:cs="Arial"/>
          <w:lang w:val="en-US"/>
        </w:rPr>
        <w:t xml:space="preserve">3) </w:t>
      </w:r>
      <w:r w:rsidR="00AE7992">
        <w:rPr>
          <w:rFonts w:cs="Arial"/>
          <w:lang w:val="en-US"/>
        </w:rPr>
        <w:t>UITs</w:t>
      </w:r>
      <w:r w:rsidRPr="000A58B2">
        <w:rPr>
          <w:rFonts w:cs="Arial"/>
          <w:lang w:val="en-US"/>
        </w:rPr>
        <w:t xml:space="preserve">, </w:t>
      </w:r>
      <w:r w:rsidR="00AE7992">
        <w:rPr>
          <w:rFonts w:cs="Arial"/>
          <w:lang w:val="en-US"/>
        </w:rPr>
        <w:t>equivalent to z</w:t>
      </w:r>
      <w:r w:rsidR="006D3560" w:rsidRPr="000A58B2">
        <w:rPr>
          <w:rFonts w:cs="Arial"/>
          <w:lang w:val="en-US"/>
        </w:rPr>
        <w:t>ero point twenty five</w:t>
      </w:r>
      <w:r w:rsidRPr="000A58B2">
        <w:rPr>
          <w:rFonts w:cs="Arial"/>
          <w:lang w:val="en-US"/>
        </w:rPr>
        <w:t xml:space="preserve"> (0</w:t>
      </w:r>
      <w:r w:rsidR="006D3560" w:rsidRPr="000A58B2">
        <w:rPr>
          <w:rFonts w:cs="Arial"/>
          <w:lang w:val="en-US"/>
        </w:rPr>
        <w:t>.</w:t>
      </w:r>
      <w:r w:rsidRPr="000A58B2">
        <w:rPr>
          <w:rFonts w:cs="Arial"/>
          <w:lang w:val="en-US"/>
        </w:rPr>
        <w:t xml:space="preserve">25) </w:t>
      </w:r>
      <w:r w:rsidR="006D3560" w:rsidRPr="000A58B2">
        <w:rPr>
          <w:rFonts w:cs="Arial"/>
          <w:lang w:val="en-US"/>
        </w:rPr>
        <w:t xml:space="preserve">monthly </w:t>
      </w:r>
      <w:r w:rsidR="00AE7992">
        <w:rPr>
          <w:rFonts w:cs="Arial"/>
          <w:lang w:val="en-US"/>
        </w:rPr>
        <w:t>UITs</w:t>
      </w:r>
      <w:r w:rsidRPr="000A58B2">
        <w:rPr>
          <w:rFonts w:cs="Arial"/>
          <w:lang w:val="en-US"/>
        </w:rPr>
        <w:t xml:space="preserve">. </w:t>
      </w:r>
      <w:r w:rsidR="006D3560" w:rsidRPr="000A58B2">
        <w:rPr>
          <w:rFonts w:cs="Arial"/>
          <w:lang w:val="en-US"/>
        </w:rPr>
        <w:t xml:space="preserve">These contributions are paid </w:t>
      </w:r>
      <w:r w:rsidR="00B43FE4" w:rsidRPr="000A58B2">
        <w:rPr>
          <w:rFonts w:cs="Arial"/>
          <w:lang w:val="en-US"/>
        </w:rPr>
        <w:t>annually</w:t>
      </w:r>
      <w:r w:rsidR="006D3560" w:rsidRPr="000A58B2">
        <w:rPr>
          <w:rFonts w:cs="Arial"/>
          <w:lang w:val="en-US"/>
        </w:rPr>
        <w:t xml:space="preserve">. The amount of the </w:t>
      </w:r>
      <w:r w:rsidR="00AE7992">
        <w:rPr>
          <w:rFonts w:cs="Arial"/>
          <w:lang w:val="en-US"/>
        </w:rPr>
        <w:t>UIT</w:t>
      </w:r>
      <w:r w:rsidR="006D3560" w:rsidRPr="000A58B2">
        <w:rPr>
          <w:rFonts w:cs="Arial"/>
          <w:lang w:val="en-US"/>
        </w:rPr>
        <w:t xml:space="preserve"> applied will be the amount in force at the beginning of the period corresponding to the collected contribution. </w:t>
      </w:r>
    </w:p>
    <w:p w:rsidR="00A81D0E" w:rsidRPr="000A58B2" w:rsidRDefault="006D3560" w:rsidP="00A81D0E">
      <w:pPr>
        <w:spacing w:before="100" w:beforeAutospacing="1" w:afterAutospacing="1"/>
        <w:rPr>
          <w:lang w:val="en-US"/>
        </w:rPr>
      </w:pPr>
      <w:r w:rsidRPr="000A58B2">
        <w:rPr>
          <w:rFonts w:cs="Arial"/>
          <w:lang w:val="en-US"/>
        </w:rPr>
        <w:t xml:space="preserve">By means of a general provision and </w:t>
      </w:r>
      <w:r w:rsidR="00AE7992">
        <w:rPr>
          <w:rFonts w:cs="Arial"/>
          <w:lang w:val="en-US"/>
        </w:rPr>
        <w:t>in the above</w:t>
      </w:r>
      <w:r w:rsidRPr="000A58B2">
        <w:rPr>
          <w:rFonts w:cs="Arial"/>
          <w:lang w:val="en-US"/>
        </w:rPr>
        <w:t xml:space="preserve"> framework, SMV will determine, for each such entity, which specific line items in their financial statements will be taken into account as annual revenues resulting from the entity’s main activity. </w:t>
      </w:r>
    </w:p>
    <w:p w:rsidR="00A81D0E" w:rsidRPr="000A58B2" w:rsidRDefault="006D3560" w:rsidP="00A81D0E">
      <w:pPr>
        <w:spacing w:before="100" w:beforeAutospacing="1" w:afterAutospacing="1"/>
        <w:rPr>
          <w:lang w:val="en-US"/>
        </w:rPr>
      </w:pPr>
      <w:r w:rsidRPr="000A58B2">
        <w:rPr>
          <w:rFonts w:cs="Arial"/>
          <w:lang w:val="en-US"/>
        </w:rPr>
        <w:t xml:space="preserve">In the case of entities that fail to </w:t>
      </w:r>
      <w:r w:rsidR="00AE7992">
        <w:rPr>
          <w:rFonts w:cs="Arial"/>
          <w:lang w:val="en-US"/>
        </w:rPr>
        <w:t>file</w:t>
      </w:r>
      <w:r w:rsidRPr="000A58B2">
        <w:rPr>
          <w:rFonts w:cs="Arial"/>
          <w:lang w:val="en-US"/>
        </w:rPr>
        <w:t xml:space="preserve"> their audited annual financial statements for the period corresponding to their respective contribution and for purposes of computing such contribution, the annual revenu</w:t>
      </w:r>
      <w:r w:rsidR="00C83C8D" w:rsidRPr="000A58B2">
        <w:rPr>
          <w:rFonts w:cs="Arial"/>
          <w:lang w:val="en-US"/>
        </w:rPr>
        <w:t xml:space="preserve">es shown in the latest mid-term financial statements submitted by the entity will be used. If the entity had not submitted such financial information, </w:t>
      </w:r>
      <w:r w:rsidR="00AE7992">
        <w:rPr>
          <w:rFonts w:cs="Arial"/>
          <w:lang w:val="en-US"/>
        </w:rPr>
        <w:t>its</w:t>
      </w:r>
      <w:r w:rsidR="00C83C8D" w:rsidRPr="000A58B2">
        <w:rPr>
          <w:rFonts w:cs="Arial"/>
          <w:lang w:val="en-US"/>
        </w:rPr>
        <w:t xml:space="preserve"> annual contribution will be equal t</w:t>
      </w:r>
      <w:r w:rsidR="00AE7992">
        <w:rPr>
          <w:rFonts w:cs="Arial"/>
          <w:lang w:val="en-US"/>
        </w:rPr>
        <w:t>o t</w:t>
      </w:r>
      <w:r w:rsidR="00C83C8D" w:rsidRPr="000A58B2">
        <w:rPr>
          <w:rFonts w:cs="Arial"/>
          <w:lang w:val="en-US"/>
        </w:rPr>
        <w:t>he amount resulting from the monthly partial payments made by the entity as computed during the corresponding period</w:t>
      </w:r>
      <w:r w:rsidR="00A81D0E" w:rsidRPr="000A58B2">
        <w:rPr>
          <w:rFonts w:cs="Arial"/>
          <w:lang w:val="en-US"/>
        </w:rPr>
        <w:t>.</w:t>
      </w:r>
    </w:p>
    <w:p w:rsidR="00A81D0E" w:rsidRPr="000A58B2" w:rsidRDefault="00C83C8D" w:rsidP="00A81D0E">
      <w:pPr>
        <w:spacing w:before="100" w:beforeAutospacing="1" w:afterAutospacing="1"/>
        <w:rPr>
          <w:lang w:val="en-US"/>
        </w:rPr>
      </w:pPr>
      <w:r w:rsidRPr="000A58B2">
        <w:rPr>
          <w:rFonts w:cs="Arial"/>
          <w:lang w:val="en-US"/>
        </w:rPr>
        <w:t xml:space="preserve">For entities whose operation authorizations were abrogated or terminated during the contribution period, such contribution will be equivalent to the smaller amount between one </w:t>
      </w:r>
      <w:r w:rsidR="00AE7992">
        <w:rPr>
          <w:rFonts w:cs="Arial"/>
          <w:lang w:val="en-US"/>
        </w:rPr>
        <w:t>point</w:t>
      </w:r>
      <w:r w:rsidRPr="000A58B2">
        <w:rPr>
          <w:rFonts w:cs="Arial"/>
          <w:lang w:val="en-US"/>
        </w:rPr>
        <w:t xml:space="preserve"> five percent </w:t>
      </w:r>
      <w:r w:rsidR="00A81D0E" w:rsidRPr="000A58B2">
        <w:rPr>
          <w:rFonts w:cs="Arial"/>
          <w:lang w:val="en-US"/>
        </w:rPr>
        <w:t>(1</w:t>
      </w:r>
      <w:r w:rsidRPr="000A58B2">
        <w:rPr>
          <w:rFonts w:cs="Arial"/>
          <w:lang w:val="en-US"/>
        </w:rPr>
        <w:t>.</w:t>
      </w:r>
      <w:r w:rsidR="00A81D0E" w:rsidRPr="000A58B2">
        <w:rPr>
          <w:rFonts w:cs="Arial"/>
          <w:lang w:val="en-US"/>
        </w:rPr>
        <w:t xml:space="preserve">5%) </w:t>
      </w:r>
      <w:r w:rsidRPr="000A58B2">
        <w:rPr>
          <w:rFonts w:cs="Arial"/>
          <w:lang w:val="en-US"/>
        </w:rPr>
        <w:t xml:space="preserve">of their cumulative revenues during the period elapsed and the total </w:t>
      </w:r>
      <w:r w:rsidR="00AE7992">
        <w:rPr>
          <w:rFonts w:cs="Arial"/>
          <w:lang w:val="en-US"/>
        </w:rPr>
        <w:t>UITs</w:t>
      </w:r>
      <w:r w:rsidRPr="000A58B2">
        <w:rPr>
          <w:rFonts w:cs="Arial"/>
          <w:lang w:val="en-US"/>
        </w:rPr>
        <w:t xml:space="preserve"> which, paid monthly, are described in this paragraph, times the number of months </w:t>
      </w:r>
      <w:r w:rsidR="00AE7992">
        <w:rPr>
          <w:rFonts w:cs="Arial"/>
          <w:lang w:val="en-US"/>
        </w:rPr>
        <w:t>during which</w:t>
      </w:r>
      <w:r w:rsidRPr="000A58B2">
        <w:rPr>
          <w:rFonts w:cs="Arial"/>
          <w:lang w:val="en-US"/>
        </w:rPr>
        <w:t xml:space="preserve"> the entity operated </w:t>
      </w:r>
      <w:r w:rsidR="00AE7992">
        <w:rPr>
          <w:rFonts w:cs="Arial"/>
          <w:lang w:val="en-US"/>
        </w:rPr>
        <w:t>in</w:t>
      </w:r>
      <w:r w:rsidRPr="000A58B2">
        <w:rPr>
          <w:rFonts w:cs="Arial"/>
          <w:lang w:val="en-US"/>
        </w:rPr>
        <w:t xml:space="preserve"> the period of contribution payment. If the entity </w:t>
      </w:r>
      <w:r w:rsidR="00AE7992">
        <w:rPr>
          <w:rFonts w:cs="Arial"/>
          <w:lang w:val="en-US"/>
        </w:rPr>
        <w:t>did not accumulate</w:t>
      </w:r>
      <w:r w:rsidRPr="000A58B2">
        <w:rPr>
          <w:rFonts w:cs="Arial"/>
          <w:lang w:val="en-US"/>
        </w:rPr>
        <w:t xml:space="preserve"> revenues during the period, its contribution will be equivalent to the amount of </w:t>
      </w:r>
      <w:r w:rsidR="00AE7992">
        <w:rPr>
          <w:rFonts w:cs="Arial"/>
          <w:lang w:val="en-US"/>
        </w:rPr>
        <w:t>UITs</w:t>
      </w:r>
      <w:r w:rsidRPr="000A58B2">
        <w:rPr>
          <w:rFonts w:cs="Arial"/>
          <w:lang w:val="en-US"/>
        </w:rPr>
        <w:t xml:space="preserve"> paid monthly described in this paragraph times the number of months the entity operated during the term </w:t>
      </w:r>
      <w:r w:rsidR="00C07A6E">
        <w:rPr>
          <w:rFonts w:cs="Arial"/>
          <w:lang w:val="en-US"/>
        </w:rPr>
        <w:t>when</w:t>
      </w:r>
      <w:r w:rsidRPr="000A58B2">
        <w:rPr>
          <w:rFonts w:cs="Arial"/>
          <w:lang w:val="en-US"/>
        </w:rPr>
        <w:t xml:space="preserve"> the contribution </w:t>
      </w:r>
      <w:r w:rsidR="00C07A6E">
        <w:rPr>
          <w:rFonts w:cs="Arial"/>
          <w:lang w:val="en-US"/>
        </w:rPr>
        <w:t>had to</w:t>
      </w:r>
      <w:r w:rsidRPr="000A58B2">
        <w:rPr>
          <w:rFonts w:cs="Arial"/>
          <w:lang w:val="en-US"/>
        </w:rPr>
        <w:t xml:space="preserve"> be paid.</w:t>
      </w:r>
    </w:p>
    <w:p w:rsidR="00A81D0E" w:rsidRPr="000A58B2" w:rsidRDefault="00A81D0E" w:rsidP="00C83C8D">
      <w:pPr>
        <w:spacing w:before="100" w:beforeAutospacing="1" w:afterAutospacing="1"/>
        <w:rPr>
          <w:lang w:val="en-US"/>
        </w:rPr>
      </w:pPr>
      <w:r w:rsidRPr="000A58B2">
        <w:rPr>
          <w:rFonts w:cs="Arial"/>
          <w:lang w:val="en-US"/>
        </w:rPr>
        <w:t> </w:t>
      </w:r>
      <w:r w:rsidR="00C83C8D" w:rsidRPr="000A58B2">
        <w:rPr>
          <w:rFonts w:cs="Arial"/>
          <w:lang w:val="en-US"/>
        </w:rPr>
        <w:t>Entities mandated to pay the contribution must pay, as monthly advance payment</w:t>
      </w:r>
      <w:r w:rsidR="00C07A6E">
        <w:rPr>
          <w:rFonts w:cs="Arial"/>
          <w:lang w:val="en-US"/>
        </w:rPr>
        <w:t>s</w:t>
      </w:r>
      <w:r w:rsidR="00C83C8D" w:rsidRPr="000A58B2">
        <w:rPr>
          <w:rFonts w:cs="Arial"/>
          <w:lang w:val="en-US"/>
        </w:rPr>
        <w:t xml:space="preserve">, the smaller amount resulting from comparing the amount of monthly </w:t>
      </w:r>
      <w:r w:rsidR="00C07A6E">
        <w:rPr>
          <w:rFonts w:cs="Arial"/>
          <w:lang w:val="en-US"/>
        </w:rPr>
        <w:t>UITs</w:t>
      </w:r>
      <w:r w:rsidR="00C83C8D" w:rsidRPr="000A58B2">
        <w:rPr>
          <w:rFonts w:cs="Arial"/>
          <w:lang w:val="en-US"/>
        </w:rPr>
        <w:t xml:space="preserve"> described in this </w:t>
      </w:r>
      <w:r w:rsidR="00B43FE4" w:rsidRPr="000A58B2">
        <w:rPr>
          <w:rFonts w:cs="Arial"/>
          <w:lang w:val="en-US"/>
        </w:rPr>
        <w:t>paragraph</w:t>
      </w:r>
      <w:r w:rsidR="00C83C8D" w:rsidRPr="000A58B2">
        <w:rPr>
          <w:rFonts w:cs="Arial"/>
          <w:lang w:val="en-US"/>
        </w:rPr>
        <w:t xml:space="preserve"> for monthly pa</w:t>
      </w:r>
      <w:r w:rsidR="00C07A6E">
        <w:rPr>
          <w:rFonts w:cs="Arial"/>
          <w:lang w:val="en-US"/>
        </w:rPr>
        <w:t xml:space="preserve">yments and </w:t>
      </w:r>
      <w:r w:rsidR="001944E1">
        <w:rPr>
          <w:rFonts w:cs="Arial"/>
          <w:lang w:val="en-US"/>
        </w:rPr>
        <w:t>z</w:t>
      </w:r>
      <w:r w:rsidR="00C83C8D" w:rsidRPr="000A58B2">
        <w:rPr>
          <w:rFonts w:cs="Arial"/>
          <w:lang w:val="en-US"/>
        </w:rPr>
        <w:t>ero point one hundred twenty five</w:t>
      </w:r>
      <w:r w:rsidR="00BD1601">
        <w:rPr>
          <w:rFonts w:cs="Arial"/>
          <w:lang w:val="en-US"/>
        </w:rPr>
        <w:t xml:space="preserve"> </w:t>
      </w:r>
      <w:r w:rsidR="00C83C8D" w:rsidRPr="000A58B2">
        <w:rPr>
          <w:rFonts w:cs="Arial"/>
          <w:lang w:val="en-US"/>
        </w:rPr>
        <w:t>percent</w:t>
      </w:r>
      <w:r w:rsidR="00BD1601">
        <w:rPr>
          <w:rFonts w:cs="Arial"/>
          <w:lang w:val="en-US"/>
        </w:rPr>
        <w:t xml:space="preserve"> </w:t>
      </w:r>
      <w:r w:rsidRPr="000A58B2">
        <w:rPr>
          <w:rFonts w:cs="Arial"/>
          <w:lang w:val="en-US"/>
        </w:rPr>
        <w:t>(0</w:t>
      </w:r>
      <w:r w:rsidR="00C83C8D" w:rsidRPr="000A58B2">
        <w:rPr>
          <w:rFonts w:cs="Arial"/>
          <w:lang w:val="en-US"/>
        </w:rPr>
        <w:t>.</w:t>
      </w:r>
      <w:r w:rsidRPr="000A58B2">
        <w:rPr>
          <w:rFonts w:cs="Arial"/>
          <w:lang w:val="en-US"/>
        </w:rPr>
        <w:t xml:space="preserve">125%) </w:t>
      </w:r>
      <w:r w:rsidR="00C83C8D" w:rsidRPr="000A58B2">
        <w:rPr>
          <w:rFonts w:cs="Arial"/>
          <w:lang w:val="en-US"/>
        </w:rPr>
        <w:t>of their annual revenues</w:t>
      </w:r>
      <w:r w:rsidR="00C07A6E">
        <w:rPr>
          <w:rFonts w:cs="Arial"/>
          <w:lang w:val="en-US"/>
        </w:rPr>
        <w:t>,</w:t>
      </w:r>
      <w:r w:rsidR="00C83C8D" w:rsidRPr="000A58B2">
        <w:rPr>
          <w:rFonts w:cs="Arial"/>
          <w:lang w:val="en-US"/>
        </w:rPr>
        <w:t xml:space="preserve"> as shown in the audited annual financial statements for the previous period. For monthly advance</w:t>
      </w:r>
      <w:r w:rsidR="00C07A6E">
        <w:rPr>
          <w:rFonts w:cs="Arial"/>
          <w:lang w:val="en-US"/>
        </w:rPr>
        <w:t>d</w:t>
      </w:r>
      <w:r w:rsidR="00C83C8D" w:rsidRPr="000A58B2">
        <w:rPr>
          <w:rFonts w:cs="Arial"/>
          <w:lang w:val="en-US"/>
        </w:rPr>
        <w:t xml:space="preserve"> payments for the months of January, February and March, they shall be equivalent to the smaller amount resulting from comparing the </w:t>
      </w:r>
      <w:r w:rsidR="00C07A6E">
        <w:rPr>
          <w:rFonts w:cs="Arial"/>
          <w:lang w:val="en-US"/>
        </w:rPr>
        <w:t>UITs</w:t>
      </w:r>
      <w:r w:rsidR="00C83C8D" w:rsidRPr="000A58B2">
        <w:rPr>
          <w:rFonts w:cs="Arial"/>
          <w:lang w:val="en-US"/>
        </w:rPr>
        <w:t xml:space="preserve"> which, as monthly payments</w:t>
      </w:r>
      <w:r w:rsidR="00C07A6E">
        <w:rPr>
          <w:rFonts w:cs="Arial"/>
          <w:lang w:val="en-US"/>
        </w:rPr>
        <w:t>,</w:t>
      </w:r>
      <w:r w:rsidR="00C83C8D" w:rsidRPr="000A58B2">
        <w:rPr>
          <w:rFonts w:cs="Arial"/>
          <w:lang w:val="en-US"/>
        </w:rPr>
        <w:t xml:space="preserve"> are described in this </w:t>
      </w:r>
      <w:r w:rsidR="00FE6F63" w:rsidRPr="000A58B2">
        <w:rPr>
          <w:rFonts w:cs="Arial"/>
          <w:lang w:val="en-US"/>
        </w:rPr>
        <w:t>section</w:t>
      </w:r>
      <w:r w:rsidR="00C83C8D" w:rsidRPr="000A58B2">
        <w:rPr>
          <w:rFonts w:cs="Arial"/>
          <w:lang w:val="en-US"/>
        </w:rPr>
        <w:t xml:space="preserve"> and </w:t>
      </w:r>
      <w:r w:rsidR="001944E1">
        <w:rPr>
          <w:rFonts w:cs="Arial"/>
          <w:lang w:val="en-US"/>
        </w:rPr>
        <w:t>z</w:t>
      </w:r>
      <w:r w:rsidR="00C83C8D" w:rsidRPr="000A58B2">
        <w:rPr>
          <w:rFonts w:cs="Arial"/>
          <w:lang w:val="en-US"/>
        </w:rPr>
        <w:t xml:space="preserve">ero point one twenty </w:t>
      </w:r>
      <w:r w:rsidR="00C83C8D" w:rsidRPr="000A58B2">
        <w:rPr>
          <w:rFonts w:cs="Arial"/>
          <w:lang w:val="en-US"/>
        </w:rPr>
        <w:lastRenderedPageBreak/>
        <w:t xml:space="preserve">five percent </w:t>
      </w:r>
      <w:r w:rsidRPr="000A58B2">
        <w:rPr>
          <w:rFonts w:cs="Arial"/>
          <w:lang w:val="en-US"/>
        </w:rPr>
        <w:t>(0</w:t>
      </w:r>
      <w:r w:rsidR="00C83C8D" w:rsidRPr="000A58B2">
        <w:rPr>
          <w:rFonts w:cs="Arial"/>
          <w:lang w:val="en-US"/>
        </w:rPr>
        <w:t>.</w:t>
      </w:r>
      <w:r w:rsidRPr="000A58B2">
        <w:rPr>
          <w:rFonts w:cs="Arial"/>
          <w:lang w:val="en-US"/>
        </w:rPr>
        <w:t xml:space="preserve">125%) </w:t>
      </w:r>
      <w:r w:rsidR="00C83C8D" w:rsidRPr="000A58B2">
        <w:rPr>
          <w:rFonts w:cs="Arial"/>
          <w:lang w:val="en-US"/>
        </w:rPr>
        <w:t xml:space="preserve">of their annual revenues as shown in their audited annual financial statements for the prior period. </w:t>
      </w:r>
    </w:p>
    <w:p w:rsidR="00A81D0E" w:rsidRPr="000A58B2" w:rsidRDefault="00120DCF" w:rsidP="00A81D0E">
      <w:pPr>
        <w:spacing w:before="100" w:beforeAutospacing="1" w:afterAutospacing="1"/>
        <w:rPr>
          <w:lang w:val="en-US"/>
        </w:rPr>
      </w:pPr>
      <w:r w:rsidRPr="000A58B2">
        <w:rPr>
          <w:rFonts w:cs="Arial"/>
          <w:lang w:val="en-US"/>
        </w:rPr>
        <w:t xml:space="preserve">For entities that started operating in the </w:t>
      </w:r>
      <w:r w:rsidR="00C07A6E">
        <w:rPr>
          <w:rFonts w:cs="Arial"/>
          <w:lang w:val="en-US"/>
        </w:rPr>
        <w:t>period before the contribution</w:t>
      </w:r>
      <w:r w:rsidRPr="000A58B2">
        <w:rPr>
          <w:rFonts w:cs="Arial"/>
          <w:lang w:val="en-US"/>
        </w:rPr>
        <w:t xml:space="preserve"> period, advance payments for the month of the January, February and March will be equivalent to the smaller amount between the amount of </w:t>
      </w:r>
      <w:r w:rsidR="00C07A6E">
        <w:rPr>
          <w:rFonts w:cs="Arial"/>
          <w:lang w:val="en-US"/>
        </w:rPr>
        <w:t>UITs</w:t>
      </w:r>
      <w:r w:rsidRPr="000A58B2">
        <w:rPr>
          <w:rFonts w:cs="Arial"/>
          <w:lang w:val="en-US"/>
        </w:rPr>
        <w:t xml:space="preserve"> which, as monthly payments are described in this </w:t>
      </w:r>
      <w:r w:rsidR="00FE6F63" w:rsidRPr="000A58B2">
        <w:rPr>
          <w:rFonts w:cs="Arial"/>
          <w:lang w:val="en-US"/>
        </w:rPr>
        <w:t>section</w:t>
      </w:r>
      <w:r w:rsidRPr="000A58B2">
        <w:rPr>
          <w:rFonts w:cs="Arial"/>
          <w:lang w:val="en-US"/>
        </w:rPr>
        <w:t xml:space="preserve"> and </w:t>
      </w:r>
      <w:r w:rsidR="00C07A6E">
        <w:rPr>
          <w:rFonts w:cs="Arial"/>
          <w:lang w:val="en-US"/>
        </w:rPr>
        <w:t>z</w:t>
      </w:r>
      <w:r w:rsidRPr="000A58B2">
        <w:rPr>
          <w:rFonts w:cs="Arial"/>
          <w:lang w:val="en-US"/>
        </w:rPr>
        <w:t xml:space="preserve">ero point one hundred twenty five percent </w:t>
      </w:r>
      <w:r w:rsidR="00A81D0E" w:rsidRPr="000A58B2">
        <w:rPr>
          <w:rFonts w:cs="Arial"/>
          <w:lang w:val="en-US"/>
        </w:rPr>
        <w:t>(0</w:t>
      </w:r>
      <w:r w:rsidRPr="000A58B2">
        <w:rPr>
          <w:rFonts w:cs="Arial"/>
          <w:lang w:val="en-US"/>
        </w:rPr>
        <w:t>.</w:t>
      </w:r>
      <w:r w:rsidR="00A81D0E" w:rsidRPr="000A58B2">
        <w:rPr>
          <w:rFonts w:cs="Arial"/>
          <w:lang w:val="en-US"/>
        </w:rPr>
        <w:t xml:space="preserve">125%) </w:t>
      </w:r>
      <w:r w:rsidRPr="000A58B2">
        <w:rPr>
          <w:rFonts w:cs="Arial"/>
          <w:lang w:val="en-US"/>
        </w:rPr>
        <w:t xml:space="preserve">of the cumulative revenues for the period; and the advance payments for the months of April to December will be computed following the methodology described in the previous paragraph. If the entity does not have cumulative revenues for the period, the advance payments for January, February and March will be equivalent to the </w:t>
      </w:r>
      <w:r w:rsidR="00C07A6E">
        <w:rPr>
          <w:rFonts w:cs="Arial"/>
          <w:lang w:val="en-US"/>
        </w:rPr>
        <w:t>UITs</w:t>
      </w:r>
      <w:r w:rsidR="00BD1601">
        <w:rPr>
          <w:rFonts w:cs="Arial"/>
          <w:lang w:val="en-US"/>
        </w:rPr>
        <w:t xml:space="preserve"> </w:t>
      </w:r>
      <w:r w:rsidR="00C07A6E">
        <w:rPr>
          <w:rFonts w:cs="Arial"/>
          <w:lang w:val="en-US"/>
        </w:rPr>
        <w:t>determined</w:t>
      </w:r>
      <w:r w:rsidR="00FE6F63" w:rsidRPr="000A58B2">
        <w:rPr>
          <w:rFonts w:cs="Arial"/>
          <w:lang w:val="en-US"/>
        </w:rPr>
        <w:t xml:space="preserve"> in this section</w:t>
      </w:r>
      <w:r w:rsidR="00BD1601">
        <w:rPr>
          <w:rFonts w:cs="Arial"/>
          <w:lang w:val="en-US"/>
        </w:rPr>
        <w:t xml:space="preserve"> </w:t>
      </w:r>
      <w:r w:rsidR="00C07A6E">
        <w:rPr>
          <w:rFonts w:cs="Arial"/>
          <w:lang w:val="en-US"/>
        </w:rPr>
        <w:t>for</w:t>
      </w:r>
      <w:r w:rsidR="00C07A6E" w:rsidRPr="000A58B2">
        <w:rPr>
          <w:rFonts w:cs="Arial"/>
          <w:lang w:val="en-US"/>
        </w:rPr>
        <w:t xml:space="preserve"> monthly payment</w:t>
      </w:r>
      <w:r w:rsidR="00C07A6E">
        <w:rPr>
          <w:rFonts w:cs="Arial"/>
          <w:lang w:val="en-US"/>
        </w:rPr>
        <w:t>s</w:t>
      </w:r>
      <w:r w:rsidR="00A81D0E" w:rsidRPr="000A58B2">
        <w:rPr>
          <w:rFonts w:cs="Arial"/>
          <w:lang w:val="en-US"/>
        </w:rPr>
        <w:t>.</w:t>
      </w:r>
    </w:p>
    <w:p w:rsidR="00C07A6E" w:rsidRPr="000A58B2" w:rsidRDefault="00E57C55" w:rsidP="00C07A6E">
      <w:pPr>
        <w:spacing w:before="100" w:beforeAutospacing="1" w:afterAutospacing="1"/>
        <w:rPr>
          <w:lang w:val="en-US"/>
        </w:rPr>
      </w:pPr>
      <w:r w:rsidRPr="000A58B2">
        <w:rPr>
          <w:rFonts w:cs="Arial"/>
          <w:lang w:val="en-US"/>
        </w:rPr>
        <w:t xml:space="preserve">For entities that started operating in the </w:t>
      </w:r>
      <w:r w:rsidR="00C07A6E" w:rsidRPr="000A58B2">
        <w:rPr>
          <w:rFonts w:cs="Arial"/>
          <w:lang w:val="en-US"/>
        </w:rPr>
        <w:t xml:space="preserve">contribution </w:t>
      </w:r>
      <w:r w:rsidRPr="000A58B2">
        <w:rPr>
          <w:rFonts w:cs="Arial"/>
          <w:lang w:val="en-US"/>
        </w:rPr>
        <w:t xml:space="preserve">period, advance payments will be equivalent to the smaller amount between the amount of </w:t>
      </w:r>
      <w:r w:rsidR="00C07A6E">
        <w:rPr>
          <w:rFonts w:cs="Arial"/>
          <w:lang w:val="en-US"/>
        </w:rPr>
        <w:t>UITs</w:t>
      </w:r>
      <w:r w:rsidR="00BD1601">
        <w:rPr>
          <w:rFonts w:cs="Arial"/>
          <w:lang w:val="en-US"/>
        </w:rPr>
        <w:t xml:space="preserve"> established</w:t>
      </w:r>
      <w:r w:rsidRPr="000A58B2">
        <w:rPr>
          <w:rFonts w:cs="Arial"/>
          <w:lang w:val="en-US"/>
        </w:rPr>
        <w:t xml:space="preserve"> in this section</w:t>
      </w:r>
      <w:r w:rsidR="00BD1601">
        <w:rPr>
          <w:rFonts w:cs="Arial"/>
          <w:lang w:val="en-US"/>
        </w:rPr>
        <w:t xml:space="preserve"> </w:t>
      </w:r>
      <w:r w:rsidR="00C07A6E">
        <w:rPr>
          <w:rFonts w:cs="Arial"/>
          <w:lang w:val="en-US"/>
        </w:rPr>
        <w:t>for</w:t>
      </w:r>
      <w:r w:rsidR="00C07A6E" w:rsidRPr="000A58B2">
        <w:rPr>
          <w:rFonts w:cs="Arial"/>
          <w:lang w:val="en-US"/>
        </w:rPr>
        <w:t xml:space="preserve"> monthly payments</w:t>
      </w:r>
      <w:r w:rsidRPr="000A58B2">
        <w:rPr>
          <w:rFonts w:cs="Arial"/>
          <w:lang w:val="en-US"/>
        </w:rPr>
        <w:t>, and zero point one hundred twenty five percent (0.</w:t>
      </w:r>
      <w:r w:rsidR="00A81D0E" w:rsidRPr="000A58B2">
        <w:rPr>
          <w:rFonts w:cs="Arial"/>
          <w:lang w:val="en-US"/>
        </w:rPr>
        <w:t xml:space="preserve">125%) </w:t>
      </w:r>
      <w:r w:rsidRPr="000A58B2">
        <w:rPr>
          <w:rFonts w:cs="Arial"/>
          <w:lang w:val="en-US"/>
        </w:rPr>
        <w:t xml:space="preserve">of their cumulative revenues during the corresponding period. If the entity does not show cumulative revenues for the period, the advance payments will be equivalent to the </w:t>
      </w:r>
      <w:r w:rsidR="00C07A6E">
        <w:rPr>
          <w:rFonts w:cs="Arial"/>
          <w:lang w:val="en-US"/>
        </w:rPr>
        <w:t>UITs</w:t>
      </w:r>
      <w:r w:rsidR="00BD1601">
        <w:rPr>
          <w:rFonts w:cs="Arial"/>
          <w:lang w:val="en-US"/>
        </w:rPr>
        <w:t xml:space="preserve"> </w:t>
      </w:r>
      <w:r w:rsidR="00C07A6E">
        <w:rPr>
          <w:rFonts w:cs="Arial"/>
          <w:lang w:val="en-US"/>
        </w:rPr>
        <w:t>determined</w:t>
      </w:r>
      <w:r w:rsidR="00C07A6E" w:rsidRPr="000A58B2">
        <w:rPr>
          <w:rFonts w:cs="Arial"/>
          <w:lang w:val="en-US"/>
        </w:rPr>
        <w:t xml:space="preserve"> in this section</w:t>
      </w:r>
      <w:r w:rsidR="00BD1601">
        <w:rPr>
          <w:rFonts w:cs="Arial"/>
          <w:lang w:val="en-US"/>
        </w:rPr>
        <w:t xml:space="preserve"> </w:t>
      </w:r>
      <w:r w:rsidR="00C07A6E">
        <w:rPr>
          <w:rFonts w:cs="Arial"/>
          <w:lang w:val="en-US"/>
        </w:rPr>
        <w:t>for</w:t>
      </w:r>
      <w:r w:rsidR="00C07A6E" w:rsidRPr="000A58B2">
        <w:rPr>
          <w:rFonts w:cs="Arial"/>
          <w:lang w:val="en-US"/>
        </w:rPr>
        <w:t xml:space="preserve"> monthly payment</w:t>
      </w:r>
      <w:r w:rsidR="00C07A6E">
        <w:rPr>
          <w:rFonts w:cs="Arial"/>
          <w:lang w:val="en-US"/>
        </w:rPr>
        <w:t>s</w:t>
      </w:r>
      <w:r w:rsidR="00C07A6E" w:rsidRPr="000A58B2">
        <w:rPr>
          <w:rFonts w:cs="Arial"/>
          <w:lang w:val="en-US"/>
        </w:rPr>
        <w:t>.</w:t>
      </w:r>
    </w:p>
    <w:p w:rsidR="00C07A6E" w:rsidRPr="000A58B2" w:rsidRDefault="00E57C55" w:rsidP="00C07A6E">
      <w:pPr>
        <w:spacing w:before="100" w:beforeAutospacing="1" w:afterAutospacing="1"/>
        <w:rPr>
          <w:lang w:val="en-US"/>
        </w:rPr>
      </w:pPr>
      <w:r w:rsidRPr="000A58B2">
        <w:rPr>
          <w:rFonts w:cs="Arial"/>
          <w:lang w:val="en-US"/>
        </w:rPr>
        <w:t xml:space="preserve">For entities that did not file their audited annual financial statements for the </w:t>
      </w:r>
      <w:r w:rsidR="00B43FE4" w:rsidRPr="000A58B2">
        <w:rPr>
          <w:rFonts w:cs="Arial"/>
          <w:lang w:val="en-US"/>
        </w:rPr>
        <w:t>preceding</w:t>
      </w:r>
      <w:r w:rsidRPr="000A58B2">
        <w:rPr>
          <w:rFonts w:cs="Arial"/>
          <w:lang w:val="en-US"/>
        </w:rPr>
        <w:t xml:space="preserve"> period or the period before their last period, for purposes of advance payments, SMV will use the annual revenues shown in the latest </w:t>
      </w:r>
      <w:r w:rsidR="00B43FE4" w:rsidRPr="000A58B2">
        <w:rPr>
          <w:rFonts w:cs="Arial"/>
          <w:lang w:val="en-US"/>
        </w:rPr>
        <w:t>midterm</w:t>
      </w:r>
      <w:r w:rsidRPr="000A58B2">
        <w:rPr>
          <w:rFonts w:cs="Arial"/>
          <w:lang w:val="en-US"/>
        </w:rPr>
        <w:t xml:space="preserve"> financial statements for the period </w:t>
      </w:r>
      <w:proofErr w:type="gramStart"/>
      <w:r w:rsidR="00BD1601" w:rsidRPr="000A58B2">
        <w:rPr>
          <w:rFonts w:cs="Arial"/>
          <w:lang w:val="en-US"/>
        </w:rPr>
        <w:t>preceding</w:t>
      </w:r>
      <w:proofErr w:type="gramEnd"/>
      <w:r w:rsidR="00C07A6E">
        <w:rPr>
          <w:rFonts w:cs="Arial"/>
          <w:lang w:val="en-US"/>
        </w:rPr>
        <w:t xml:space="preserve"> the contribution</w:t>
      </w:r>
      <w:r w:rsidRPr="000A58B2">
        <w:rPr>
          <w:rFonts w:cs="Arial"/>
          <w:lang w:val="en-US"/>
        </w:rPr>
        <w:t xml:space="preserve"> period. If the entity failed to submit such financial information, the advance payments will be equivalent to the average of monthly advance payments calculated by the entity for the </w:t>
      </w:r>
      <w:r w:rsidR="00B43FE4" w:rsidRPr="000A58B2">
        <w:rPr>
          <w:rFonts w:cs="Arial"/>
          <w:lang w:val="en-US"/>
        </w:rPr>
        <w:t>preceding</w:t>
      </w:r>
      <w:r w:rsidR="00C07A6E">
        <w:rPr>
          <w:rFonts w:cs="Arial"/>
          <w:lang w:val="en-US"/>
        </w:rPr>
        <w:t xml:space="preserve"> period;</w:t>
      </w:r>
      <w:r w:rsidRPr="000A58B2">
        <w:rPr>
          <w:rFonts w:cs="Arial"/>
          <w:lang w:val="en-US"/>
        </w:rPr>
        <w:t xml:space="preserve"> if the above described calculations were not possible, the </w:t>
      </w:r>
      <w:r w:rsidR="00B43FE4" w:rsidRPr="000A58B2">
        <w:rPr>
          <w:rFonts w:cs="Arial"/>
          <w:lang w:val="en-US"/>
        </w:rPr>
        <w:t>monthly</w:t>
      </w:r>
      <w:r w:rsidRPr="000A58B2">
        <w:rPr>
          <w:rFonts w:cs="Arial"/>
          <w:lang w:val="en-US"/>
        </w:rPr>
        <w:t xml:space="preserve"> advance payments will be equivalent to the </w:t>
      </w:r>
      <w:r w:rsidR="00C07A6E">
        <w:rPr>
          <w:rFonts w:cs="Arial"/>
          <w:lang w:val="en-US"/>
        </w:rPr>
        <w:t>UITs</w:t>
      </w:r>
      <w:r w:rsidR="00BD1601">
        <w:rPr>
          <w:rFonts w:cs="Arial"/>
          <w:lang w:val="en-US"/>
        </w:rPr>
        <w:t xml:space="preserve"> </w:t>
      </w:r>
      <w:r w:rsidR="00C07A6E">
        <w:rPr>
          <w:rFonts w:cs="Arial"/>
          <w:lang w:val="en-US"/>
        </w:rPr>
        <w:t>determined</w:t>
      </w:r>
      <w:r w:rsidR="00C07A6E" w:rsidRPr="000A58B2">
        <w:rPr>
          <w:rFonts w:cs="Arial"/>
          <w:lang w:val="en-US"/>
        </w:rPr>
        <w:t xml:space="preserve"> in this section</w:t>
      </w:r>
      <w:r w:rsidR="00BD1601">
        <w:rPr>
          <w:rFonts w:cs="Arial"/>
          <w:lang w:val="en-US"/>
        </w:rPr>
        <w:t xml:space="preserve"> </w:t>
      </w:r>
      <w:r w:rsidR="00C07A6E">
        <w:rPr>
          <w:rFonts w:cs="Arial"/>
          <w:lang w:val="en-US"/>
        </w:rPr>
        <w:t>for</w:t>
      </w:r>
      <w:r w:rsidR="00C07A6E" w:rsidRPr="000A58B2">
        <w:rPr>
          <w:rFonts w:cs="Arial"/>
          <w:lang w:val="en-US"/>
        </w:rPr>
        <w:t xml:space="preserve"> monthly payment</w:t>
      </w:r>
      <w:r w:rsidR="00C07A6E">
        <w:rPr>
          <w:rFonts w:cs="Arial"/>
          <w:lang w:val="en-US"/>
        </w:rPr>
        <w:t>s</w:t>
      </w:r>
      <w:r w:rsidR="00C07A6E" w:rsidRPr="000A58B2">
        <w:rPr>
          <w:rFonts w:cs="Arial"/>
          <w:lang w:val="en-US"/>
        </w:rPr>
        <w:t>.</w:t>
      </w:r>
    </w:p>
    <w:p w:rsidR="00A81D0E" w:rsidRPr="000A58B2" w:rsidRDefault="00C07A6E" w:rsidP="00A81D0E">
      <w:pPr>
        <w:spacing w:before="100" w:beforeAutospacing="1" w:afterAutospacing="1"/>
        <w:rPr>
          <w:lang w:val="en-US"/>
        </w:rPr>
      </w:pPr>
      <w:r>
        <w:rPr>
          <w:rFonts w:cs="Arial"/>
          <w:lang w:val="en-US"/>
        </w:rPr>
        <w:t>E</w:t>
      </w:r>
      <w:r w:rsidR="00E57C55" w:rsidRPr="000A58B2">
        <w:rPr>
          <w:rFonts w:cs="Arial"/>
          <w:lang w:val="en-US"/>
        </w:rPr>
        <w:t xml:space="preserve">ntities whose authorization permits were suspended at the end of the </w:t>
      </w:r>
      <w:r w:rsidR="00BB2048" w:rsidRPr="000A58B2">
        <w:rPr>
          <w:rFonts w:cs="Arial"/>
          <w:lang w:val="en-US"/>
        </w:rPr>
        <w:t xml:space="preserve">month </w:t>
      </w:r>
      <w:r w:rsidR="00E57C55" w:rsidRPr="000A58B2">
        <w:rPr>
          <w:rFonts w:cs="Arial"/>
          <w:lang w:val="en-US"/>
        </w:rPr>
        <w:t>corresponding to the monthly advance payment</w:t>
      </w:r>
      <w:r w:rsidR="00BB2048" w:rsidRPr="000A58B2">
        <w:rPr>
          <w:rFonts w:cs="Arial"/>
          <w:lang w:val="en-US"/>
        </w:rPr>
        <w:t>s are not obligated to</w:t>
      </w:r>
      <w:r w:rsidR="00B43FE4" w:rsidRPr="000A58B2">
        <w:rPr>
          <w:rFonts w:cs="Arial"/>
          <w:lang w:val="en-US"/>
        </w:rPr>
        <w:t xml:space="preserve"> p</w:t>
      </w:r>
      <w:r w:rsidR="00BB2048" w:rsidRPr="000A58B2">
        <w:rPr>
          <w:rFonts w:cs="Arial"/>
          <w:lang w:val="en-US"/>
        </w:rPr>
        <w:t>ay such monthly advance payment. Entities whose operating authorizations were abrogated or terminated, will not be obligated to make monthly advance payments, starting on the month when such abrogation or termination takes effect.</w:t>
      </w:r>
      <w:r w:rsidR="00A81D0E" w:rsidRPr="000A58B2">
        <w:rPr>
          <w:bCs/>
          <w:lang w:val="en-US"/>
        </w:rPr>
        <w:t xml:space="preserve"> (***)</w:t>
      </w:r>
    </w:p>
    <w:p w:rsidR="00A81D0E" w:rsidRPr="000A58B2" w:rsidRDefault="000C387F" w:rsidP="00A81D0E">
      <w:pPr>
        <w:spacing w:before="100" w:beforeAutospacing="1" w:afterAutospacing="1"/>
        <w:rPr>
          <w:lang w:val="en-US"/>
        </w:rPr>
      </w:pPr>
      <w:r w:rsidRPr="000A58B2">
        <w:rPr>
          <w:lang w:val="en-US"/>
        </w:rPr>
        <w:t>The contributions described in sections</w:t>
      </w:r>
      <w:r w:rsidR="00A81D0E" w:rsidRPr="000A58B2">
        <w:rPr>
          <w:lang w:val="en-US"/>
        </w:rPr>
        <w:t xml:space="preserve"> a), b), c), d) </w:t>
      </w:r>
      <w:r w:rsidRPr="000A58B2">
        <w:rPr>
          <w:lang w:val="en-US"/>
        </w:rPr>
        <w:t xml:space="preserve">and </w:t>
      </w:r>
      <w:r w:rsidR="00A81D0E" w:rsidRPr="000A58B2">
        <w:rPr>
          <w:lang w:val="en-US"/>
        </w:rPr>
        <w:t xml:space="preserve">e) </w:t>
      </w:r>
      <w:r w:rsidRPr="000A58B2">
        <w:rPr>
          <w:lang w:val="en-US"/>
        </w:rPr>
        <w:t xml:space="preserve">may be settled and paid by tax payers described in the corresponding paragraphs, in the manner, place and date determined by </w:t>
      </w:r>
      <w:r w:rsidR="00C427C9">
        <w:rPr>
          <w:lang w:val="en-US"/>
        </w:rPr>
        <w:t xml:space="preserve">the </w:t>
      </w:r>
      <w:r w:rsidR="00C07A6E">
        <w:rPr>
          <w:lang w:val="en-US"/>
        </w:rPr>
        <w:t>SMV</w:t>
      </w:r>
      <w:r w:rsidR="00A81D0E" w:rsidRPr="000A58B2">
        <w:rPr>
          <w:lang w:val="en-US"/>
        </w:rPr>
        <w:t xml:space="preserve">, </w:t>
      </w:r>
      <w:r w:rsidRPr="000A58B2">
        <w:rPr>
          <w:lang w:val="en-US"/>
        </w:rPr>
        <w:t xml:space="preserve">which may modify such conditions, provided the percentages or amounts determined by this provision are not exceeded. Such </w:t>
      </w:r>
      <w:r w:rsidR="00B43FE4" w:rsidRPr="000A58B2">
        <w:rPr>
          <w:lang w:val="en-US"/>
        </w:rPr>
        <w:t>changes</w:t>
      </w:r>
      <w:r w:rsidRPr="000A58B2">
        <w:rPr>
          <w:lang w:val="en-US"/>
        </w:rPr>
        <w:t xml:space="preserve"> may be made to reflect the value, period, type of operation and risk of the operations, the activities carried out by the entity subject to SMV’s authorization or supervision or any other criteri</w:t>
      </w:r>
      <w:r w:rsidR="00C427C9">
        <w:rPr>
          <w:lang w:val="en-US"/>
        </w:rPr>
        <w:t>a</w:t>
      </w:r>
      <w:r w:rsidRPr="000A58B2">
        <w:rPr>
          <w:lang w:val="en-US"/>
        </w:rPr>
        <w:t xml:space="preserve"> related to prudential regulations and supervision performed by SMV</w:t>
      </w:r>
      <w:r w:rsidR="00A81D0E" w:rsidRPr="000A58B2">
        <w:rPr>
          <w:lang w:val="en-US"/>
        </w:rPr>
        <w:t>.</w:t>
      </w:r>
      <w:r w:rsidR="00A81D0E" w:rsidRPr="000A58B2">
        <w:rPr>
          <w:bCs/>
          <w:lang w:val="en-US"/>
        </w:rPr>
        <w:t xml:space="preserve"> (****)</w:t>
      </w:r>
    </w:p>
    <w:p w:rsidR="00A81D0E" w:rsidRPr="000A58B2" w:rsidRDefault="000C387F" w:rsidP="00A81D0E">
      <w:pPr>
        <w:spacing w:before="100" w:beforeAutospacing="1" w:afterAutospacing="1"/>
        <w:rPr>
          <w:lang w:val="en-US"/>
        </w:rPr>
      </w:pPr>
      <w:r w:rsidRPr="000A58B2">
        <w:rPr>
          <w:lang w:val="en-US"/>
        </w:rPr>
        <w:t xml:space="preserve">Other sources of </w:t>
      </w:r>
      <w:r w:rsidR="00C427C9">
        <w:rPr>
          <w:lang w:val="en-US"/>
        </w:rPr>
        <w:t>SMV</w:t>
      </w:r>
      <w:r w:rsidR="00C427C9" w:rsidRPr="000A58B2">
        <w:rPr>
          <w:lang w:val="en-US"/>
        </w:rPr>
        <w:t xml:space="preserve"> </w:t>
      </w:r>
      <w:r w:rsidRPr="000A58B2">
        <w:rPr>
          <w:lang w:val="en-US"/>
        </w:rPr>
        <w:t>revenues are fines and their corresponding interests, and late payments, financial earnings and revenues, resources resulting from contracts or cooperation agreements to promot</w:t>
      </w:r>
      <w:r w:rsidR="00C07A6E">
        <w:rPr>
          <w:lang w:val="en-US"/>
        </w:rPr>
        <w:t>e and disseminate stock market</w:t>
      </w:r>
      <w:r w:rsidRPr="000A58B2">
        <w:rPr>
          <w:lang w:val="en-US"/>
        </w:rPr>
        <w:t xml:space="preserve"> activities, income from the sale of its publication, donations and transfers from the Public Treasury.</w:t>
      </w:r>
    </w:p>
    <w:p w:rsidR="00A81D0E" w:rsidRPr="000A58B2" w:rsidRDefault="000C387F" w:rsidP="00A81D0E">
      <w:pPr>
        <w:spacing w:before="100" w:beforeAutospacing="1" w:afterAutospacing="1"/>
        <w:rPr>
          <w:lang w:val="en-US"/>
        </w:rPr>
      </w:pPr>
      <w:r w:rsidRPr="000A58B2">
        <w:rPr>
          <w:rFonts w:cs="Arial"/>
          <w:lang w:val="en-US"/>
        </w:rPr>
        <w:t>The address appearing in the Stock Market Public Registry</w:t>
      </w:r>
      <w:r w:rsidR="00C07A6E">
        <w:rPr>
          <w:rFonts w:cs="Arial"/>
          <w:lang w:val="en-US"/>
        </w:rPr>
        <w:t xml:space="preserve"> is</w:t>
      </w:r>
      <w:r w:rsidRPr="000A58B2">
        <w:rPr>
          <w:rFonts w:cs="Arial"/>
          <w:lang w:val="en-US"/>
        </w:rPr>
        <w:t xml:space="preserve"> regarded as the tax address of the </w:t>
      </w:r>
      <w:proofErr w:type="spellStart"/>
      <w:r w:rsidR="00C07A6E">
        <w:rPr>
          <w:rFonts w:cs="Arial"/>
          <w:lang w:val="en-US"/>
        </w:rPr>
        <w:t>tax paying</w:t>
      </w:r>
      <w:proofErr w:type="spellEnd"/>
      <w:r w:rsidR="00C07A6E">
        <w:rPr>
          <w:rFonts w:cs="Arial"/>
          <w:lang w:val="en-US"/>
        </w:rPr>
        <w:t xml:space="preserve"> </w:t>
      </w:r>
      <w:r w:rsidRPr="000A58B2">
        <w:rPr>
          <w:rFonts w:cs="Arial"/>
          <w:lang w:val="en-US"/>
        </w:rPr>
        <w:t xml:space="preserve">entity. </w:t>
      </w:r>
      <w:r w:rsidR="00C07A6E">
        <w:rPr>
          <w:rFonts w:cs="Arial"/>
          <w:lang w:val="en-US"/>
        </w:rPr>
        <w:t xml:space="preserve">To determine contributions by </w:t>
      </w:r>
      <w:r w:rsidRPr="000A58B2">
        <w:rPr>
          <w:rFonts w:cs="Arial"/>
          <w:lang w:val="en-US"/>
        </w:rPr>
        <w:t>a tax pay</w:t>
      </w:r>
      <w:r w:rsidR="0014795A" w:rsidRPr="000A58B2">
        <w:rPr>
          <w:rFonts w:cs="Arial"/>
          <w:lang w:val="en-US"/>
        </w:rPr>
        <w:t xml:space="preserve">ing </w:t>
      </w:r>
      <w:r w:rsidRPr="000A58B2">
        <w:rPr>
          <w:rFonts w:cs="Arial"/>
          <w:lang w:val="en-US"/>
        </w:rPr>
        <w:t xml:space="preserve">entity </w:t>
      </w:r>
      <w:r w:rsidR="00C07A6E">
        <w:rPr>
          <w:rFonts w:cs="Arial"/>
          <w:lang w:val="en-US"/>
        </w:rPr>
        <w:t>that is</w:t>
      </w:r>
      <w:r w:rsidRPr="000A58B2">
        <w:rPr>
          <w:rFonts w:cs="Arial"/>
          <w:lang w:val="en-US"/>
        </w:rPr>
        <w:t xml:space="preserve"> not found or </w:t>
      </w:r>
      <w:r w:rsidR="00C07A6E">
        <w:rPr>
          <w:rFonts w:cs="Arial"/>
          <w:lang w:val="en-US"/>
        </w:rPr>
        <w:t>whose</w:t>
      </w:r>
      <w:r w:rsidR="0014795A" w:rsidRPr="000A58B2">
        <w:rPr>
          <w:rFonts w:cs="Arial"/>
          <w:lang w:val="en-US"/>
        </w:rPr>
        <w:t xml:space="preserve"> whereabouts are unknown, the regulations under Supreme Decree</w:t>
      </w:r>
      <w:r w:rsidR="00A81D0E" w:rsidRPr="000A58B2">
        <w:rPr>
          <w:rFonts w:cs="Arial"/>
          <w:lang w:val="en-US"/>
        </w:rPr>
        <w:t xml:space="preserve"> 041-2006-EF </w:t>
      </w:r>
      <w:r w:rsidR="0014795A" w:rsidRPr="000A58B2">
        <w:rPr>
          <w:rFonts w:cs="Arial"/>
          <w:lang w:val="en-US"/>
        </w:rPr>
        <w:t>apply, as well as decisions by the</w:t>
      </w:r>
      <w:r w:rsidR="00F32C66">
        <w:rPr>
          <w:rFonts w:cs="Arial"/>
          <w:lang w:val="en-US"/>
        </w:rPr>
        <w:t xml:space="preserve"> </w:t>
      </w:r>
      <w:r w:rsidR="0014795A" w:rsidRPr="000A58B2">
        <w:rPr>
          <w:rFonts w:cs="Arial"/>
          <w:lang w:val="en-US"/>
        </w:rPr>
        <w:t>National Customs and Tax Administration in this regard, as amended, replaced, or relevant</w:t>
      </w:r>
      <w:r w:rsidR="00A81D0E" w:rsidRPr="000A58B2">
        <w:rPr>
          <w:rFonts w:cs="Arial"/>
          <w:lang w:val="en-US"/>
        </w:rPr>
        <w:t>. (*****)</w:t>
      </w:r>
    </w:p>
    <w:p w:rsidR="00A81D0E" w:rsidRPr="000A58B2" w:rsidRDefault="0014795A" w:rsidP="00A81D0E">
      <w:pPr>
        <w:spacing w:before="100" w:beforeAutospacing="1" w:afterAutospacing="1"/>
        <w:rPr>
          <w:lang w:val="en-US"/>
        </w:rPr>
      </w:pPr>
      <w:r w:rsidRPr="000A58B2">
        <w:rPr>
          <w:rFonts w:cs="Arial"/>
          <w:lang w:val="en-US"/>
        </w:rPr>
        <w:t xml:space="preserve">For entities regarded as not found or when their whereabouts are unknown, as established in the </w:t>
      </w:r>
      <w:r w:rsidR="00B43FE4" w:rsidRPr="000A58B2">
        <w:rPr>
          <w:rFonts w:cs="Arial"/>
          <w:lang w:val="en-US"/>
        </w:rPr>
        <w:t>preceding</w:t>
      </w:r>
      <w:r w:rsidRPr="000A58B2">
        <w:rPr>
          <w:rFonts w:cs="Arial"/>
          <w:lang w:val="en-US"/>
        </w:rPr>
        <w:t xml:space="preserve"> paragraph, the provisions included in the </w:t>
      </w:r>
      <w:r w:rsidR="00F32C66">
        <w:rPr>
          <w:rFonts w:cs="Arial"/>
          <w:lang w:val="en-US"/>
        </w:rPr>
        <w:t xml:space="preserve">Unique Ordered </w:t>
      </w:r>
      <w:r w:rsidRPr="000A58B2">
        <w:rPr>
          <w:rFonts w:cs="Arial"/>
          <w:lang w:val="en-US"/>
        </w:rPr>
        <w:t>Tax Code, enacted by Supreme Decree</w:t>
      </w:r>
      <w:r w:rsidR="00A81D0E" w:rsidRPr="000A58B2">
        <w:rPr>
          <w:rFonts w:cs="Arial"/>
          <w:lang w:val="en-US"/>
        </w:rPr>
        <w:t xml:space="preserve"> 135-99-EF, </w:t>
      </w:r>
      <w:r w:rsidRPr="000A58B2">
        <w:rPr>
          <w:rFonts w:cs="Arial"/>
          <w:lang w:val="en-US"/>
        </w:rPr>
        <w:t>as amended and relevant</w:t>
      </w:r>
      <w:r w:rsidR="00C07A6E">
        <w:rPr>
          <w:rFonts w:cs="Arial"/>
          <w:lang w:val="en-US"/>
        </w:rPr>
        <w:t>,</w:t>
      </w:r>
      <w:r w:rsidRPr="000A58B2">
        <w:rPr>
          <w:rFonts w:cs="Arial"/>
          <w:lang w:val="en-US"/>
        </w:rPr>
        <w:t xml:space="preserve"> shall apply. In addition, under such circumstances, notification of </w:t>
      </w:r>
      <w:r w:rsidR="00A81D0E" w:rsidRPr="000A58B2">
        <w:rPr>
          <w:rFonts w:cs="Arial"/>
          <w:lang w:val="en-US"/>
        </w:rPr>
        <w:t>SMV</w:t>
      </w:r>
      <w:r w:rsidRPr="000A58B2">
        <w:rPr>
          <w:rFonts w:cs="Arial"/>
          <w:lang w:val="en-US"/>
        </w:rPr>
        <w:t>’s acts shall be served through the</w:t>
      </w:r>
      <w:r w:rsidR="00A81D0E" w:rsidRPr="000A58B2">
        <w:rPr>
          <w:rFonts w:cs="Arial"/>
          <w:lang w:val="en-US"/>
        </w:rPr>
        <w:t xml:space="preserve"> MVNet</w:t>
      </w:r>
      <w:r w:rsidR="00F32C66">
        <w:rPr>
          <w:rFonts w:cs="Arial"/>
          <w:lang w:val="en-US"/>
        </w:rPr>
        <w:t xml:space="preserve"> System </w:t>
      </w:r>
      <w:r w:rsidRPr="000A58B2">
        <w:rPr>
          <w:rFonts w:cs="Arial"/>
          <w:lang w:val="en-US"/>
        </w:rPr>
        <w:t>and the SMV’s Stock Market Portal and in the official gazette or the local newspaper designated for publishing court warrants</w:t>
      </w:r>
      <w:r w:rsidR="00CC1084">
        <w:rPr>
          <w:rFonts w:cs="Arial"/>
          <w:lang w:val="en-US"/>
        </w:rPr>
        <w:t>, or in one of the local large</w:t>
      </w:r>
      <w:r w:rsidRPr="000A58B2">
        <w:rPr>
          <w:rFonts w:cs="Arial"/>
          <w:lang w:val="en-US"/>
        </w:rPr>
        <w:t xml:space="preserve"> circulation dailies. Such publication shall show the name</w:t>
      </w:r>
      <w:r w:rsidR="00CC1084">
        <w:rPr>
          <w:rFonts w:cs="Arial"/>
          <w:lang w:val="en-US"/>
        </w:rPr>
        <w:t xml:space="preserve"> and the trade </w:t>
      </w:r>
      <w:r w:rsidRPr="000A58B2">
        <w:rPr>
          <w:rFonts w:cs="Arial"/>
          <w:lang w:val="en-US"/>
        </w:rPr>
        <w:t xml:space="preserve">name of the served entity, and </w:t>
      </w:r>
      <w:r w:rsidR="00CC1084">
        <w:rPr>
          <w:rFonts w:cs="Arial"/>
          <w:lang w:val="en-US"/>
        </w:rPr>
        <w:t>its</w:t>
      </w:r>
      <w:r w:rsidRPr="000A58B2">
        <w:rPr>
          <w:rFonts w:cs="Arial"/>
          <w:lang w:val="en-US"/>
        </w:rPr>
        <w:t xml:space="preserve"> tax payer number (RUC) or identity document number, as applicable, the number of the </w:t>
      </w:r>
      <w:r w:rsidRPr="000A58B2">
        <w:rPr>
          <w:rFonts w:cs="Arial"/>
          <w:lang w:val="en-US"/>
        </w:rPr>
        <w:lastRenderedPageBreak/>
        <w:t xml:space="preserve">document describing the administrative act and a description of its nature, the contribution or fine, their amounts, and the </w:t>
      </w:r>
      <w:r w:rsidR="00CC1084">
        <w:rPr>
          <w:rFonts w:cs="Arial"/>
          <w:lang w:val="en-US"/>
        </w:rPr>
        <w:t xml:space="preserve">tax </w:t>
      </w:r>
      <w:r w:rsidRPr="000A58B2">
        <w:rPr>
          <w:rFonts w:cs="Arial"/>
          <w:lang w:val="en-US"/>
        </w:rPr>
        <w:t xml:space="preserve">period and descriptions of other acts </w:t>
      </w:r>
      <w:r w:rsidR="00CC1084">
        <w:rPr>
          <w:rFonts w:cs="Arial"/>
          <w:lang w:val="en-US"/>
        </w:rPr>
        <w:t>resulting in</w:t>
      </w:r>
      <w:r w:rsidRPr="000A58B2">
        <w:rPr>
          <w:rFonts w:cs="Arial"/>
          <w:lang w:val="en-US"/>
        </w:rPr>
        <w:t xml:space="preserve"> the notice</w:t>
      </w:r>
      <w:r w:rsidR="00A81D0E" w:rsidRPr="000A58B2">
        <w:rPr>
          <w:rFonts w:cs="Arial"/>
          <w:lang w:val="en-US"/>
        </w:rPr>
        <w:t>.</w:t>
      </w:r>
      <w:r w:rsidR="00A81D0E" w:rsidRPr="000A58B2">
        <w:rPr>
          <w:bCs/>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CD02B0" w:rsidRPr="000A58B2">
        <w:rPr>
          <w:bCs/>
          <w:sz w:val="18"/>
          <w:szCs w:val="18"/>
          <w:lang w:val="en-US"/>
        </w:rPr>
        <w:t>Article</w:t>
      </w:r>
      <w:r w:rsidR="00F32C66">
        <w:rPr>
          <w:bCs/>
          <w:sz w:val="18"/>
          <w:szCs w:val="18"/>
          <w:lang w:val="en-US"/>
        </w:rPr>
        <w:t xml:space="preserve"> </w:t>
      </w:r>
      <w:r w:rsidR="0014795A" w:rsidRPr="000A58B2">
        <w:rPr>
          <w:bCs/>
          <w:sz w:val="18"/>
          <w:szCs w:val="18"/>
          <w:lang w:val="en-US"/>
        </w:rPr>
        <w:t>replaced</w:t>
      </w:r>
      <w:r w:rsidR="00F32C66">
        <w:rPr>
          <w:bCs/>
          <w:sz w:val="18"/>
          <w:szCs w:val="18"/>
          <w:lang w:val="en-US"/>
        </w:rPr>
        <w:t xml:space="preserve"> </w:t>
      </w:r>
      <w:r w:rsidR="0014795A" w:rsidRPr="000A58B2">
        <w:rPr>
          <w:bCs/>
          <w:sz w:val="18"/>
          <w:szCs w:val="18"/>
          <w:lang w:val="en-US"/>
        </w:rPr>
        <w:t>by</w:t>
      </w:r>
      <w:r w:rsidR="00F32C66">
        <w:rPr>
          <w:bCs/>
          <w:sz w:val="18"/>
          <w:szCs w:val="18"/>
          <w:lang w:val="en-US"/>
        </w:rPr>
        <w:t xml:space="preserve"> </w:t>
      </w:r>
      <w:hyperlink r:id="rId20" w:anchor="JD_L27323-A1" w:history="1">
        <w:r w:rsidR="00CD02B0" w:rsidRPr="000A58B2">
          <w:rPr>
            <w:bCs/>
            <w:sz w:val="18"/>
            <w:szCs w:val="18"/>
            <w:lang w:val="en-US"/>
          </w:rPr>
          <w:t>Article</w:t>
        </w:r>
        <w:r w:rsidRPr="000A58B2">
          <w:rPr>
            <w:bCs/>
            <w:sz w:val="18"/>
            <w:szCs w:val="18"/>
            <w:lang w:val="en-US"/>
          </w:rPr>
          <w:t xml:space="preserve"> 1 </w:t>
        </w:r>
        <w:r w:rsidR="0014795A" w:rsidRPr="000A58B2">
          <w:rPr>
            <w:bCs/>
            <w:sz w:val="18"/>
            <w:szCs w:val="18"/>
            <w:lang w:val="en-US"/>
          </w:rPr>
          <w:t>under Law</w:t>
        </w:r>
        <w:r w:rsidRPr="000A58B2">
          <w:rPr>
            <w:bCs/>
            <w:sz w:val="18"/>
            <w:szCs w:val="18"/>
            <w:lang w:val="en-US"/>
          </w:rPr>
          <w:t xml:space="preserve"> Nº 27323</w:t>
        </w:r>
      </w:hyperlink>
      <w:r w:rsidRPr="000A58B2">
        <w:rPr>
          <w:bCs/>
          <w:sz w:val="18"/>
          <w:szCs w:val="18"/>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14795A" w:rsidRPr="000A58B2">
        <w:rPr>
          <w:bCs/>
          <w:sz w:val="18"/>
          <w:szCs w:val="18"/>
          <w:lang w:val="en-US"/>
        </w:rPr>
        <w:t>Paragraph replaced by</w:t>
      </w:r>
      <w:r w:rsidR="00F32C66">
        <w:rPr>
          <w:bCs/>
          <w:sz w:val="18"/>
          <w:szCs w:val="18"/>
          <w:lang w:val="en-US"/>
        </w:rPr>
        <w:t xml:space="preserve"> </w:t>
      </w:r>
      <w:hyperlink r:id="rId21" w:anchor="JD_L29782-A2" w:history="1">
        <w:r w:rsidR="00CD02B0" w:rsidRPr="000A58B2">
          <w:rPr>
            <w:bCs/>
            <w:sz w:val="18"/>
            <w:szCs w:val="18"/>
            <w:lang w:val="en-US"/>
          </w:rPr>
          <w:t>Article</w:t>
        </w:r>
        <w:r w:rsidRPr="000A58B2">
          <w:rPr>
            <w:bCs/>
            <w:sz w:val="18"/>
            <w:szCs w:val="18"/>
            <w:lang w:val="en-US"/>
          </w:rPr>
          <w:t xml:space="preserve"> 2 </w:t>
        </w:r>
        <w:r w:rsidR="0014795A" w:rsidRPr="000A58B2">
          <w:rPr>
            <w:bCs/>
            <w:sz w:val="18"/>
            <w:szCs w:val="18"/>
            <w:lang w:val="en-US"/>
          </w:rPr>
          <w:t>under Law</w:t>
        </w:r>
        <w:r w:rsidRPr="000A58B2">
          <w:rPr>
            <w:bCs/>
            <w:sz w:val="18"/>
            <w:szCs w:val="18"/>
            <w:lang w:val="en-US"/>
          </w:rPr>
          <w:t xml:space="preserve"> Nº 29782</w:t>
        </w:r>
      </w:hyperlink>
      <w:r w:rsidRPr="000A58B2">
        <w:rPr>
          <w:bCs/>
          <w:sz w:val="18"/>
          <w:szCs w:val="18"/>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14795A" w:rsidRPr="000A58B2">
        <w:rPr>
          <w:bCs/>
          <w:sz w:val="18"/>
          <w:szCs w:val="18"/>
          <w:lang w:val="en-US"/>
        </w:rPr>
        <w:t xml:space="preserve">Section modified by </w:t>
      </w:r>
      <w:hyperlink r:id="rId22" w:anchor="JD_L30050-a4" w:history="1">
        <w:r w:rsidR="00CD02B0" w:rsidRPr="000A58B2">
          <w:rPr>
            <w:bCs/>
            <w:sz w:val="18"/>
            <w:szCs w:val="18"/>
            <w:lang w:val="en-US"/>
          </w:rPr>
          <w:t>Article</w:t>
        </w:r>
        <w:r w:rsidRPr="000A58B2">
          <w:rPr>
            <w:bCs/>
            <w:sz w:val="18"/>
            <w:szCs w:val="18"/>
            <w:lang w:val="en-US"/>
          </w:rPr>
          <w:t xml:space="preserve"> 4 </w:t>
        </w:r>
        <w:r w:rsidR="0014795A" w:rsidRPr="000A58B2">
          <w:rPr>
            <w:bCs/>
            <w:sz w:val="18"/>
            <w:szCs w:val="18"/>
            <w:lang w:val="en-US"/>
          </w:rPr>
          <w:t>under Law</w:t>
        </w:r>
        <w:r w:rsidRPr="000A58B2">
          <w:rPr>
            <w:bCs/>
            <w:sz w:val="18"/>
            <w:szCs w:val="18"/>
            <w:lang w:val="en-US"/>
          </w:rPr>
          <w:t xml:space="preserve"> Nº 30050</w:t>
        </w:r>
      </w:hyperlink>
      <w:r w:rsidRPr="000A58B2">
        <w:rPr>
          <w:bCs/>
          <w:sz w:val="18"/>
          <w:szCs w:val="18"/>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14795A" w:rsidRPr="000A58B2">
        <w:rPr>
          <w:bCs/>
          <w:sz w:val="18"/>
          <w:szCs w:val="18"/>
          <w:lang w:val="en-US"/>
        </w:rPr>
        <w:t>Paragraph replaced by</w:t>
      </w:r>
      <w:r w:rsidR="00F32C66">
        <w:rPr>
          <w:bCs/>
          <w:sz w:val="18"/>
          <w:szCs w:val="18"/>
          <w:lang w:val="en-US"/>
        </w:rPr>
        <w:t xml:space="preserve"> </w:t>
      </w:r>
      <w:hyperlink r:id="rId23" w:anchor="JD_L29782-A2" w:history="1">
        <w:r w:rsidR="00CD02B0" w:rsidRPr="000A58B2">
          <w:rPr>
            <w:bCs/>
            <w:sz w:val="18"/>
            <w:szCs w:val="18"/>
            <w:lang w:val="en-US"/>
          </w:rPr>
          <w:t>Article</w:t>
        </w:r>
        <w:r w:rsidRPr="000A58B2">
          <w:rPr>
            <w:bCs/>
            <w:sz w:val="18"/>
            <w:szCs w:val="18"/>
            <w:lang w:val="en-US"/>
          </w:rPr>
          <w:t xml:space="preserve"> 2 </w:t>
        </w:r>
        <w:r w:rsidR="0014795A" w:rsidRPr="000A58B2">
          <w:rPr>
            <w:bCs/>
            <w:sz w:val="18"/>
            <w:szCs w:val="18"/>
            <w:lang w:val="en-US"/>
          </w:rPr>
          <w:t>under Law</w:t>
        </w:r>
        <w:r w:rsidRPr="000A58B2">
          <w:rPr>
            <w:bCs/>
            <w:sz w:val="18"/>
            <w:szCs w:val="18"/>
            <w:lang w:val="en-US"/>
          </w:rPr>
          <w:t xml:space="preserve"> Nº 29782</w:t>
        </w:r>
      </w:hyperlink>
      <w:r w:rsidRPr="000A58B2">
        <w:rPr>
          <w:bCs/>
          <w:sz w:val="18"/>
          <w:szCs w:val="18"/>
          <w:lang w:val="en-US"/>
        </w:rPr>
        <w:t>.</w:t>
      </w:r>
    </w:p>
    <w:p w:rsidR="00A81D0E" w:rsidRPr="000A58B2" w:rsidRDefault="00A81D0E" w:rsidP="00A81D0E">
      <w:pPr>
        <w:spacing w:before="100" w:beforeAutospacing="1" w:afterAutospacing="1"/>
        <w:rPr>
          <w:bCs/>
          <w:sz w:val="18"/>
          <w:szCs w:val="18"/>
          <w:lang w:val="en-US"/>
        </w:rPr>
      </w:pPr>
      <w:r w:rsidRPr="000A58B2">
        <w:rPr>
          <w:bCs/>
          <w:sz w:val="18"/>
          <w:szCs w:val="18"/>
          <w:lang w:val="en-US"/>
        </w:rPr>
        <w:t xml:space="preserve">(*****) </w:t>
      </w:r>
      <w:r w:rsidR="0014795A" w:rsidRPr="000A58B2">
        <w:rPr>
          <w:bCs/>
          <w:sz w:val="18"/>
          <w:szCs w:val="18"/>
          <w:lang w:val="en-US"/>
        </w:rPr>
        <w:t>Paragraph included by virtue of</w:t>
      </w:r>
      <w:r w:rsidR="00F32C66">
        <w:rPr>
          <w:bCs/>
          <w:sz w:val="18"/>
          <w:szCs w:val="18"/>
          <w:lang w:val="en-US"/>
        </w:rPr>
        <w:t xml:space="preserve"> </w:t>
      </w:r>
      <w:hyperlink r:id="rId24" w:anchor="JD_L30050-a5" w:history="1">
        <w:r w:rsidR="00CD02B0" w:rsidRPr="000A58B2">
          <w:rPr>
            <w:bCs/>
            <w:sz w:val="18"/>
            <w:szCs w:val="18"/>
            <w:lang w:val="en-US"/>
          </w:rPr>
          <w:t>Article</w:t>
        </w:r>
        <w:r w:rsidRPr="000A58B2">
          <w:rPr>
            <w:bCs/>
            <w:sz w:val="18"/>
            <w:szCs w:val="18"/>
            <w:lang w:val="en-US"/>
          </w:rPr>
          <w:t xml:space="preserve"> 5 </w:t>
        </w:r>
        <w:r w:rsidR="0014795A" w:rsidRPr="000A58B2">
          <w:rPr>
            <w:bCs/>
            <w:sz w:val="18"/>
            <w:szCs w:val="18"/>
            <w:lang w:val="en-US"/>
          </w:rPr>
          <w:t>under Law</w:t>
        </w:r>
        <w:r w:rsidRPr="000A58B2">
          <w:rPr>
            <w:bCs/>
            <w:sz w:val="18"/>
            <w:szCs w:val="18"/>
            <w:lang w:val="en-US"/>
          </w:rPr>
          <w:t xml:space="preserve"> Nº 30050</w:t>
        </w:r>
      </w:hyperlink>
      <w:r w:rsidRPr="000A58B2">
        <w:rPr>
          <w:bCs/>
          <w:sz w:val="18"/>
          <w:szCs w:val="18"/>
          <w:lang w:val="en-US"/>
        </w:rPr>
        <w:t>.</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19.-</w:t>
      </w:r>
      <w:r w:rsidR="00CC1084">
        <w:rPr>
          <w:lang w:val="en-US"/>
        </w:rPr>
        <w:t>Revenue</w:t>
      </w:r>
      <w:r w:rsidR="00F32C66">
        <w:rPr>
          <w:lang w:val="en-US"/>
        </w:rPr>
        <w:t>s</w:t>
      </w:r>
      <w:r w:rsidR="00CC1084">
        <w:rPr>
          <w:lang w:val="en-US"/>
        </w:rPr>
        <w:t xml:space="preserve"> resulting from the C</w:t>
      </w:r>
      <w:r w:rsidR="0014795A" w:rsidRPr="000A58B2">
        <w:rPr>
          <w:lang w:val="en-US"/>
        </w:rPr>
        <w:t xml:space="preserve">ommission’s services belong to </w:t>
      </w:r>
      <w:r w:rsidR="00F32C66">
        <w:rPr>
          <w:lang w:val="en-US"/>
        </w:rPr>
        <w:t xml:space="preserve">SMV </w:t>
      </w:r>
      <w:r w:rsidR="00EB6E97">
        <w:rPr>
          <w:lang w:val="en-US"/>
        </w:rPr>
        <w:t>and will be used to cover its b</w:t>
      </w:r>
      <w:r w:rsidR="0014795A" w:rsidRPr="000A58B2">
        <w:rPr>
          <w:lang w:val="en-US"/>
        </w:rPr>
        <w:t xml:space="preserve">udget. </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20.-</w:t>
      </w:r>
      <w:r w:rsidR="0014795A" w:rsidRPr="000A58B2">
        <w:rPr>
          <w:lang w:val="en-US"/>
        </w:rPr>
        <w:t xml:space="preserve">If </w:t>
      </w:r>
      <w:r w:rsidR="00EB6E97" w:rsidRPr="000A58B2">
        <w:rPr>
          <w:lang w:val="en-US"/>
        </w:rPr>
        <w:t xml:space="preserve">a balance remains </w:t>
      </w:r>
      <w:r w:rsidR="0014795A" w:rsidRPr="000A58B2">
        <w:rPr>
          <w:lang w:val="en-US"/>
        </w:rPr>
        <w:t xml:space="preserve">at the end of the budget year, </w:t>
      </w:r>
      <w:r w:rsidR="00EB6E97">
        <w:rPr>
          <w:lang w:val="en-US"/>
        </w:rPr>
        <w:t>it</w:t>
      </w:r>
      <w:r w:rsidR="0014795A" w:rsidRPr="000A58B2">
        <w:rPr>
          <w:lang w:val="en-US"/>
        </w:rPr>
        <w:t xml:space="preserve"> will be </w:t>
      </w:r>
      <w:r w:rsidR="00EB6E97">
        <w:rPr>
          <w:lang w:val="en-US"/>
        </w:rPr>
        <w:t>expended in</w:t>
      </w:r>
      <w:r w:rsidR="0014795A" w:rsidRPr="000A58B2">
        <w:rPr>
          <w:lang w:val="en-US"/>
        </w:rPr>
        <w:t xml:space="preserve"> the budget </w:t>
      </w:r>
      <w:r w:rsidR="00F32C66">
        <w:rPr>
          <w:lang w:val="en-US"/>
        </w:rPr>
        <w:t xml:space="preserve">of the following </w:t>
      </w:r>
      <w:r w:rsidR="0014795A" w:rsidRPr="000A58B2">
        <w:rPr>
          <w:lang w:val="en-US"/>
        </w:rPr>
        <w:t>year.</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21.-</w:t>
      </w:r>
      <w:r w:rsidR="00B43FE4" w:rsidRPr="000A58B2">
        <w:rPr>
          <w:lang w:val="en-US"/>
        </w:rPr>
        <w:t>Entities</w:t>
      </w:r>
      <w:r w:rsidR="008625ED" w:rsidRPr="000A58B2">
        <w:rPr>
          <w:lang w:val="en-US"/>
        </w:rPr>
        <w:t xml:space="preserve"> and individuals subject to the Commission’s control or oversight may not make donations to the </w:t>
      </w:r>
      <w:r w:rsidR="00F32C66">
        <w:rPr>
          <w:lang w:val="en-US"/>
        </w:rPr>
        <w:t>SMV</w:t>
      </w:r>
      <w:r w:rsidR="00A81D0E" w:rsidRPr="000A58B2">
        <w:rPr>
          <w:lang w:val="en-US"/>
        </w:rPr>
        <w:t>.</w:t>
      </w:r>
    </w:p>
    <w:p w:rsidR="00257196" w:rsidRPr="000A58B2" w:rsidRDefault="00CD02B0" w:rsidP="00A81D0E">
      <w:pPr>
        <w:spacing w:before="100" w:beforeAutospacing="1" w:afterAutospacing="1"/>
        <w:rPr>
          <w:bCs/>
          <w:sz w:val="18"/>
          <w:szCs w:val="18"/>
          <w:lang w:val="en-US"/>
        </w:rPr>
      </w:pPr>
      <w:r w:rsidRPr="000A58B2">
        <w:rPr>
          <w:b/>
          <w:bCs/>
          <w:i/>
          <w:iCs/>
          <w:lang w:val="en-US"/>
        </w:rPr>
        <w:t>Article</w:t>
      </w:r>
      <w:r w:rsidR="00A81D0E" w:rsidRPr="000A58B2">
        <w:rPr>
          <w:b/>
          <w:bCs/>
          <w:i/>
          <w:iCs/>
          <w:lang w:val="en-US"/>
        </w:rPr>
        <w:t xml:space="preserve"> 22.-</w:t>
      </w:r>
      <w:r w:rsidR="008625ED" w:rsidRPr="000A58B2">
        <w:rPr>
          <w:bCs/>
          <w:sz w:val="18"/>
          <w:szCs w:val="18"/>
          <w:lang w:val="en-US"/>
        </w:rPr>
        <w:t xml:space="preserve"> Article abrogated by the Fourth Modified Complementary Disposition under Law Nº 29782</w:t>
      </w:r>
      <w:r w:rsidR="00A81D0E" w:rsidRPr="000A58B2">
        <w:rPr>
          <w:bCs/>
          <w:sz w:val="18"/>
          <w:szCs w:val="18"/>
          <w:lang w:val="en-US"/>
        </w:rPr>
        <w:t>.</w:t>
      </w:r>
    </w:p>
    <w:p w:rsidR="00A81D0E" w:rsidRPr="00B76ED7" w:rsidRDefault="00B06D99" w:rsidP="00B605A7">
      <w:pPr>
        <w:pStyle w:val="Ttulo1"/>
        <w:rPr>
          <w:rFonts w:ascii="Arial Narrow" w:hAnsi="Arial Narrow"/>
          <w:sz w:val="22"/>
          <w:szCs w:val="22"/>
          <w:lang w:val="en-US"/>
        </w:rPr>
      </w:pPr>
      <w:bookmarkStart w:id="14" w:name="_Toc440386588"/>
      <w:r w:rsidRPr="00B76ED7">
        <w:rPr>
          <w:rFonts w:ascii="Arial Narrow" w:hAnsi="Arial Narrow"/>
          <w:sz w:val="22"/>
          <w:szCs w:val="22"/>
          <w:lang w:val="en-US"/>
        </w:rPr>
        <w:t>TITLE</w:t>
      </w:r>
      <w:r w:rsidR="00A81D0E" w:rsidRPr="00B76ED7">
        <w:rPr>
          <w:rFonts w:ascii="Arial Narrow" w:hAnsi="Arial Narrow"/>
          <w:sz w:val="22"/>
          <w:szCs w:val="22"/>
          <w:lang w:val="en-US"/>
        </w:rPr>
        <w:t xml:space="preserve"> V</w:t>
      </w:r>
      <w:bookmarkEnd w:id="14"/>
    </w:p>
    <w:p w:rsidR="00A81D0E" w:rsidRPr="00B76ED7" w:rsidRDefault="00B43FE4" w:rsidP="00B605A7">
      <w:pPr>
        <w:pStyle w:val="Ttulo1"/>
        <w:rPr>
          <w:rFonts w:ascii="Arial Narrow" w:hAnsi="Arial Narrow"/>
          <w:sz w:val="22"/>
          <w:szCs w:val="22"/>
          <w:lang w:val="en-US"/>
        </w:rPr>
      </w:pPr>
      <w:bookmarkStart w:id="15" w:name="_Toc440386589"/>
      <w:r w:rsidRPr="00B76ED7">
        <w:rPr>
          <w:rFonts w:ascii="Arial Narrow" w:hAnsi="Arial Narrow"/>
          <w:sz w:val="22"/>
          <w:szCs w:val="22"/>
          <w:lang w:val="en-US"/>
        </w:rPr>
        <w:t>PERSONNEL</w:t>
      </w:r>
      <w:bookmarkEnd w:id="15"/>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23.-</w:t>
      </w:r>
      <w:r w:rsidR="00F32C66">
        <w:rPr>
          <w:lang w:val="en-US"/>
        </w:rPr>
        <w:t>SMV</w:t>
      </w:r>
      <w:r w:rsidR="00B43FE4" w:rsidRPr="000A58B2">
        <w:rPr>
          <w:lang w:val="en-US"/>
        </w:rPr>
        <w:t>’s employ</w:t>
      </w:r>
      <w:r w:rsidR="00CC1084">
        <w:rPr>
          <w:lang w:val="en-US"/>
        </w:rPr>
        <w:t xml:space="preserve">ment policies are governed by </w:t>
      </w:r>
      <w:r w:rsidR="00B43FE4" w:rsidRPr="000A58B2">
        <w:rPr>
          <w:lang w:val="en-US"/>
        </w:rPr>
        <w:t>private sector labor regulations</w:t>
      </w:r>
      <w:r w:rsidR="00A81D0E" w:rsidRPr="000A58B2">
        <w:rPr>
          <w:lang w:val="en-US"/>
        </w:rPr>
        <w:t>.</w:t>
      </w:r>
    </w:p>
    <w:p w:rsidR="00A81D0E" w:rsidRPr="000A58B2" w:rsidRDefault="00CD02B0" w:rsidP="00A81D0E">
      <w:pPr>
        <w:spacing w:before="100" w:beforeAutospacing="1" w:afterAutospacing="1"/>
        <w:rPr>
          <w:lang w:val="en-US"/>
        </w:rPr>
      </w:pPr>
      <w:r w:rsidRPr="000A58B2">
        <w:rPr>
          <w:b/>
          <w:bCs/>
          <w:lang w:val="en-US"/>
        </w:rPr>
        <w:t>Article</w:t>
      </w:r>
      <w:r w:rsidR="00A81D0E" w:rsidRPr="000A58B2">
        <w:rPr>
          <w:b/>
          <w:bCs/>
          <w:lang w:val="en-US"/>
        </w:rPr>
        <w:t xml:space="preserve"> 24.-</w:t>
      </w:r>
      <w:r w:rsidR="00B43FE4" w:rsidRPr="000A58B2">
        <w:rPr>
          <w:lang w:val="en-US"/>
        </w:rPr>
        <w:t xml:space="preserve">Article 8 above applies to </w:t>
      </w:r>
      <w:r w:rsidR="00F32C66">
        <w:rPr>
          <w:lang w:val="en-US"/>
        </w:rPr>
        <w:t>SMV</w:t>
      </w:r>
      <w:r w:rsidR="00B43FE4" w:rsidRPr="000A58B2">
        <w:rPr>
          <w:lang w:val="en-US"/>
        </w:rPr>
        <w:t>’s employees, unless explicitly authorized by the Board of Directors</w:t>
      </w:r>
      <w:r w:rsidR="00A81D0E" w:rsidRPr="000A58B2">
        <w:rPr>
          <w:lang w:val="en-US"/>
        </w:rPr>
        <w:t>.</w:t>
      </w:r>
    </w:p>
    <w:p w:rsidR="00A81D0E" w:rsidRPr="000A58B2" w:rsidRDefault="00A81D0E" w:rsidP="00A81D0E">
      <w:pPr>
        <w:rPr>
          <w:lang w:val="en-US"/>
        </w:rPr>
      </w:pPr>
    </w:p>
    <w:p w:rsidR="00257196" w:rsidRPr="000A58B2" w:rsidRDefault="00257196" w:rsidP="00A81D0E">
      <w:pPr>
        <w:pStyle w:val="Subttulo1"/>
        <w:spacing w:line="360" w:lineRule="auto"/>
        <w:ind w:left="567" w:right="567"/>
        <w:rPr>
          <w:rFonts w:ascii="Arial Narrow" w:hAnsi="Arial Narrow" w:cs="Arial"/>
          <w:color w:val="auto"/>
          <w:sz w:val="28"/>
          <w:szCs w:val="22"/>
          <w:lang w:val="en-US"/>
        </w:rPr>
      </w:pPr>
    </w:p>
    <w:p w:rsidR="00257196" w:rsidRPr="000A58B2" w:rsidRDefault="00257196" w:rsidP="00A81D0E">
      <w:pPr>
        <w:pStyle w:val="Subttulo1"/>
        <w:spacing w:line="360" w:lineRule="auto"/>
        <w:ind w:left="567" w:right="567"/>
        <w:rPr>
          <w:rFonts w:ascii="Arial Narrow" w:hAnsi="Arial Narrow" w:cs="Arial"/>
          <w:color w:val="auto"/>
          <w:sz w:val="28"/>
          <w:szCs w:val="22"/>
          <w:lang w:val="en-US"/>
        </w:rPr>
      </w:pPr>
    </w:p>
    <w:p w:rsidR="00257196" w:rsidRPr="000A58B2" w:rsidRDefault="00257196" w:rsidP="00A81D0E">
      <w:pPr>
        <w:pStyle w:val="Subttulo1"/>
        <w:spacing w:line="360" w:lineRule="auto"/>
        <w:ind w:left="567" w:right="567"/>
        <w:rPr>
          <w:rFonts w:ascii="Arial Narrow" w:hAnsi="Arial Narrow" w:cs="Arial"/>
          <w:color w:val="auto"/>
          <w:sz w:val="28"/>
          <w:szCs w:val="22"/>
          <w:lang w:val="en-US"/>
        </w:rPr>
      </w:pPr>
    </w:p>
    <w:p w:rsidR="005E2944" w:rsidRPr="000A58B2" w:rsidRDefault="005E2944">
      <w:pPr>
        <w:tabs>
          <w:tab w:val="clear" w:pos="1531"/>
        </w:tabs>
        <w:spacing w:after="200" w:line="276" w:lineRule="auto"/>
        <w:jc w:val="left"/>
        <w:rPr>
          <w:rFonts w:cs="Arial"/>
          <w:b/>
          <w:snapToGrid w:val="0"/>
          <w:sz w:val="28"/>
          <w:szCs w:val="22"/>
          <w:lang w:val="en-US"/>
        </w:rPr>
      </w:pPr>
    </w:p>
    <w:sectPr w:rsidR="005E2944" w:rsidRPr="000A58B2" w:rsidSect="00C04FB2">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418" w:right="1701" w:bottom="1418" w:left="1701" w:header="850" w:footer="5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47" w:rsidRDefault="00B50F47" w:rsidP="00CA22D3">
      <w:pPr>
        <w:spacing w:after="0"/>
      </w:pPr>
      <w:r>
        <w:separator/>
      </w:r>
    </w:p>
  </w:endnote>
  <w:endnote w:type="continuationSeparator" w:id="0">
    <w:p w:rsidR="00B50F47" w:rsidRDefault="00B50F47" w:rsidP="00CA22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witzerland">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2" w:rsidRDefault="00FE65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A4" w:rsidRPr="002417A0" w:rsidRDefault="00FA094A" w:rsidP="007B5CA4">
    <w:pPr>
      <w:pStyle w:val="Default"/>
      <w:ind w:right="-142"/>
      <w:jc w:val="right"/>
      <w:rPr>
        <w:rFonts w:eastAsia="Times New Roman"/>
        <w:b/>
        <w:snapToGrid w:val="0"/>
        <w:color w:val="auto"/>
        <w:sz w:val="22"/>
        <w:szCs w:val="20"/>
        <w:lang w:val="en-GB"/>
      </w:rPr>
    </w:pPr>
    <w:r w:rsidRPr="002417A0">
      <w:rPr>
        <w:rFonts w:eastAsia="Times New Roman"/>
        <w:b/>
        <w:snapToGrid w:val="0"/>
        <w:color w:val="auto"/>
        <w:sz w:val="22"/>
        <w:szCs w:val="20"/>
        <w:lang w:val="en-GB"/>
      </w:rPr>
      <w:fldChar w:fldCharType="begin"/>
    </w:r>
    <w:r w:rsidR="007B5CA4" w:rsidRPr="002417A0">
      <w:rPr>
        <w:rFonts w:eastAsia="Times New Roman"/>
        <w:b/>
        <w:snapToGrid w:val="0"/>
        <w:color w:val="auto"/>
        <w:sz w:val="22"/>
        <w:szCs w:val="20"/>
        <w:lang w:val="en-GB"/>
      </w:rPr>
      <w:instrText xml:space="preserve"> PAGE   \* MERGEFORMAT </w:instrText>
    </w:r>
    <w:r w:rsidRPr="002417A0">
      <w:rPr>
        <w:rFonts w:eastAsia="Times New Roman"/>
        <w:b/>
        <w:snapToGrid w:val="0"/>
        <w:color w:val="auto"/>
        <w:sz w:val="22"/>
        <w:szCs w:val="20"/>
        <w:lang w:val="en-GB"/>
      </w:rPr>
      <w:fldChar w:fldCharType="separate"/>
    </w:r>
    <w:r w:rsidR="000602DD">
      <w:rPr>
        <w:rFonts w:eastAsia="Times New Roman"/>
        <w:b/>
        <w:noProof/>
        <w:snapToGrid w:val="0"/>
        <w:color w:val="auto"/>
        <w:sz w:val="22"/>
        <w:szCs w:val="20"/>
        <w:lang w:val="en-GB"/>
      </w:rPr>
      <w:t>15</w:t>
    </w:r>
    <w:r w:rsidRPr="002417A0">
      <w:rPr>
        <w:rFonts w:eastAsia="Times New Roman"/>
        <w:b/>
        <w:snapToGrid w:val="0"/>
        <w:color w:val="auto"/>
        <w:sz w:val="22"/>
        <w:szCs w:val="20"/>
        <w:lang w:val="en-GB"/>
      </w:rPr>
      <w:fldChar w:fldCharType="end"/>
    </w:r>
  </w:p>
  <w:p w:rsidR="00302E5A" w:rsidRDefault="00302E5A" w:rsidP="00302E5A">
    <w:pPr>
      <w:pStyle w:val="Default"/>
      <w:ind w:right="-142"/>
      <w:jc w:val="both"/>
      <w:rPr>
        <w:color w:val="auto"/>
        <w:lang w:val="en-GB"/>
      </w:rPr>
    </w:pPr>
    <w:r>
      <w:rPr>
        <w:rFonts w:ascii="Comic Sans MS" w:eastAsia="Times New Roman" w:hAnsi="Comic Sans MS" w:cs="Andalus"/>
        <w:b/>
        <w:snapToGrid w:val="0"/>
        <w:color w:val="auto"/>
        <w:sz w:val="18"/>
        <w:szCs w:val="20"/>
        <w:lang w:val="en-GB"/>
      </w:rPr>
      <w:t>Waiver of Responsibility.-</w:t>
    </w:r>
    <w:r>
      <w:rPr>
        <w:rFonts w:ascii="Comic Sans MS" w:hAnsi="Comic Sans MS" w:cs="Andalus"/>
        <w:snapToGrid w:val="0"/>
        <w:color w:val="auto"/>
        <w:sz w:val="18"/>
        <w:lang w:val="en-GB"/>
      </w:rPr>
      <w:t>The law and any other regulation translated into English are only referential. The official language for any legal purpose is Spanish as published in the Official Gazette.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E4" w:rsidRDefault="006930E4">
    <w:pPr>
      <w:pStyle w:val="Piedepgina"/>
      <w:jc w:val="right"/>
    </w:pPr>
  </w:p>
  <w:p w:rsidR="006930E4" w:rsidRDefault="006930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47" w:rsidRDefault="00B50F47" w:rsidP="00CA22D3">
      <w:pPr>
        <w:spacing w:after="0"/>
      </w:pPr>
      <w:r>
        <w:separator/>
      </w:r>
    </w:p>
  </w:footnote>
  <w:footnote w:type="continuationSeparator" w:id="0">
    <w:p w:rsidR="00B50F47" w:rsidRDefault="00B50F47" w:rsidP="00CA22D3">
      <w:pPr>
        <w:spacing w:after="0"/>
      </w:pPr>
      <w:r>
        <w:continuationSeparator/>
      </w:r>
    </w:p>
  </w:footnote>
  <w:footnote w:id="1">
    <w:p w:rsidR="00D63F90" w:rsidRPr="00B605A7" w:rsidRDefault="00D63F90">
      <w:pPr>
        <w:pStyle w:val="Textonotapie"/>
        <w:rPr>
          <w:lang w:val="en-US"/>
        </w:rPr>
      </w:pPr>
      <w:r>
        <w:rPr>
          <w:rStyle w:val="Refdenotaalpie"/>
        </w:rPr>
        <w:footnoteRef/>
      </w:r>
      <w:r w:rsidRPr="00B605A7">
        <w:rPr>
          <w:lang w:val="en-US"/>
        </w:rPr>
        <w:t xml:space="preserve"> Superintendence of Securities Market according to Law N° 29782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2" w:rsidRDefault="00FA094A">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277614" o:spid="_x0000_s12290" type="#_x0000_t75" style="position:absolute;left:0;text-align:left;margin-left:0;margin-top:0;width:425.05pt;height:160.35pt;z-index:-251657216;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42" w:rsidRPr="00C04FB2" w:rsidRDefault="00FA094A" w:rsidP="00C04FB2">
    <w:pPr>
      <w:pStyle w:val="Encabezado"/>
      <w:tabs>
        <w:tab w:val="clear" w:pos="4419"/>
      </w:tabs>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277615" o:spid="_x0000_s12291" type="#_x0000_t75" style="position:absolute;left:0;text-align:left;margin-left:0;margin-top:0;width:425.05pt;height:160.35pt;z-index:-251656192;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2" w:rsidRDefault="00FA094A">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277613" o:spid="_x0000_s12289" type="#_x0000_t75" style="position:absolute;left:0;text-align:left;margin-left:0;margin-top:0;width:425.05pt;height:160.35pt;z-index:-251658240;mso-position-horizontal:center;mso-position-horizontal-relative:margin;mso-position-vertical:center;mso-position-vertical-relative:margin" o:allowincell="f">
          <v:imagedata r:id="rId1" o:title="logo_conasev"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F5"/>
    <w:multiLevelType w:val="hybridMultilevel"/>
    <w:tmpl w:val="C3A088F8"/>
    <w:lvl w:ilvl="0" w:tplc="813A20B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0359"/>
    <w:multiLevelType w:val="hybridMultilevel"/>
    <w:tmpl w:val="A366FF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95457E"/>
    <w:multiLevelType w:val="hybridMultilevel"/>
    <w:tmpl w:val="82DE07E4"/>
    <w:lvl w:ilvl="0" w:tplc="A83C71FA">
      <w:start w:val="1"/>
      <w:numFmt w:val="decimal"/>
      <w:lvlText w:val="%1."/>
      <w:lvlJc w:val="left"/>
      <w:pPr>
        <w:tabs>
          <w:tab w:val="num" w:pos="720"/>
        </w:tabs>
        <w:ind w:left="720" w:hanging="360"/>
      </w:pPr>
      <w:rPr>
        <w:rFonts w:hint="default"/>
      </w:rPr>
    </w:lvl>
    <w:lvl w:ilvl="1" w:tplc="BCBE5AC2">
      <w:start w:val="1"/>
      <w:numFmt w:val="lowerLetter"/>
      <w:lvlText w:val="%2)"/>
      <w:lvlJc w:val="left"/>
      <w:pPr>
        <w:tabs>
          <w:tab w:val="num" w:pos="1440"/>
        </w:tabs>
        <w:ind w:left="1440" w:hanging="360"/>
      </w:pPr>
      <w:rPr>
        <w:rFonts w:hint="default"/>
      </w:rPr>
    </w:lvl>
    <w:lvl w:ilvl="2" w:tplc="C75E0E86">
      <w:start w:val="1"/>
      <w:numFmt w:val="lowerLetter"/>
      <w:lvlText w:val="%3."/>
      <w:lvlJc w:val="left"/>
      <w:pPr>
        <w:tabs>
          <w:tab w:val="num" w:pos="2340"/>
        </w:tabs>
        <w:ind w:left="2340" w:hanging="360"/>
      </w:pPr>
      <w:rPr>
        <w:rFonts w:hint="default"/>
      </w:rPr>
    </w:lvl>
    <w:lvl w:ilvl="3" w:tplc="1024AEC4">
      <w:start w:val="1"/>
      <w:numFmt w:val="upperLetter"/>
      <w:pStyle w:val="Ttulo3"/>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EC0BF5"/>
    <w:multiLevelType w:val="hybridMultilevel"/>
    <w:tmpl w:val="2FE4A868"/>
    <w:lvl w:ilvl="0" w:tplc="31B8C982">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254F"/>
    <w:multiLevelType w:val="hybridMultilevel"/>
    <w:tmpl w:val="D10095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43214B"/>
    <w:multiLevelType w:val="hybridMultilevel"/>
    <w:tmpl w:val="8D8CC88A"/>
    <w:lvl w:ilvl="0" w:tplc="45D0BC3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B6FF2"/>
    <w:multiLevelType w:val="hybridMultilevel"/>
    <w:tmpl w:val="5CF0E06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01313C"/>
    <w:multiLevelType w:val="hybridMultilevel"/>
    <w:tmpl w:val="F6C69A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21094F"/>
    <w:multiLevelType w:val="hybridMultilevel"/>
    <w:tmpl w:val="CEE0F5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B1399E"/>
    <w:multiLevelType w:val="hybridMultilevel"/>
    <w:tmpl w:val="10CC9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14A7F"/>
    <w:multiLevelType w:val="hybridMultilevel"/>
    <w:tmpl w:val="46E8BBFC"/>
    <w:lvl w:ilvl="0" w:tplc="A3046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3525"/>
    <w:multiLevelType w:val="hybridMultilevel"/>
    <w:tmpl w:val="9AA2C6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4F90404"/>
    <w:multiLevelType w:val="hybridMultilevel"/>
    <w:tmpl w:val="7592C2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CCA514D"/>
    <w:multiLevelType w:val="hybridMultilevel"/>
    <w:tmpl w:val="1804D3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24931AC"/>
    <w:multiLevelType w:val="hybridMultilevel"/>
    <w:tmpl w:val="8C727A36"/>
    <w:lvl w:ilvl="0" w:tplc="C83AE2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43C7356"/>
    <w:multiLevelType w:val="hybridMultilevel"/>
    <w:tmpl w:val="1C9C0A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93C4817"/>
    <w:multiLevelType w:val="hybridMultilevel"/>
    <w:tmpl w:val="26B8C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A03A7"/>
    <w:multiLevelType w:val="hybridMultilevel"/>
    <w:tmpl w:val="79A4E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BDA1CD4"/>
    <w:multiLevelType w:val="hybridMultilevel"/>
    <w:tmpl w:val="C95088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DF15C4E"/>
    <w:multiLevelType w:val="hybridMultilevel"/>
    <w:tmpl w:val="A5CAB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38607A5"/>
    <w:multiLevelType w:val="hybridMultilevel"/>
    <w:tmpl w:val="003A2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7C31731"/>
    <w:multiLevelType w:val="hybridMultilevel"/>
    <w:tmpl w:val="85BE3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C6ED3"/>
    <w:multiLevelType w:val="hybridMultilevel"/>
    <w:tmpl w:val="AF7CD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80675D1"/>
    <w:multiLevelType w:val="hybridMultilevel"/>
    <w:tmpl w:val="E4BCA6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FE87277"/>
    <w:multiLevelType w:val="hybridMultilevel"/>
    <w:tmpl w:val="D6EA88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0F700CB"/>
    <w:multiLevelType w:val="hybridMultilevel"/>
    <w:tmpl w:val="51409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24B83"/>
    <w:multiLevelType w:val="hybridMultilevel"/>
    <w:tmpl w:val="BBE861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9"/>
  </w:num>
  <w:num w:numId="5">
    <w:abstractNumId w:val="5"/>
  </w:num>
  <w:num w:numId="6">
    <w:abstractNumId w:val="16"/>
  </w:num>
  <w:num w:numId="7">
    <w:abstractNumId w:val="10"/>
  </w:num>
  <w:num w:numId="8">
    <w:abstractNumId w:val="3"/>
  </w:num>
  <w:num w:numId="9">
    <w:abstractNumId w:val="8"/>
  </w:num>
  <w:num w:numId="10">
    <w:abstractNumId w:val="19"/>
  </w:num>
  <w:num w:numId="11">
    <w:abstractNumId w:val="6"/>
  </w:num>
  <w:num w:numId="12">
    <w:abstractNumId w:val="20"/>
  </w:num>
  <w:num w:numId="13">
    <w:abstractNumId w:val="15"/>
  </w:num>
  <w:num w:numId="14">
    <w:abstractNumId w:val="22"/>
  </w:num>
  <w:num w:numId="15">
    <w:abstractNumId w:val="24"/>
  </w:num>
  <w:num w:numId="16">
    <w:abstractNumId w:val="13"/>
  </w:num>
  <w:num w:numId="17">
    <w:abstractNumId w:val="12"/>
  </w:num>
  <w:num w:numId="18">
    <w:abstractNumId w:val="7"/>
  </w:num>
  <w:num w:numId="19">
    <w:abstractNumId w:val="17"/>
  </w:num>
  <w:num w:numId="20">
    <w:abstractNumId w:val="18"/>
  </w:num>
  <w:num w:numId="21">
    <w:abstractNumId w:val="26"/>
  </w:num>
  <w:num w:numId="22">
    <w:abstractNumId w:val="23"/>
  </w:num>
  <w:num w:numId="23">
    <w:abstractNumId w:val="1"/>
  </w:num>
  <w:num w:numId="24">
    <w:abstractNumId w:val="25"/>
  </w:num>
  <w:num w:numId="25">
    <w:abstractNumId w:val="21"/>
  </w:num>
  <w:num w:numId="26">
    <w:abstractNumId w:val="4"/>
  </w:num>
  <w:num w:numId="27">
    <w:abstractNumId w:val="1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dney Evans">
    <w15:presenceInfo w15:providerId="Windows Live" w15:userId="fd86b9b7cb5b9cf3"/>
  </w15:person>
  <w15:person w15:author="Naoe Nakamatsu Nakamatsu">
    <w15:presenceInfo w15:providerId="Windows Live" w15:userId="c02dfd33db6b04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225704"/>
    <w:rsid w:val="00002BC0"/>
    <w:rsid w:val="00007E44"/>
    <w:rsid w:val="000274A4"/>
    <w:rsid w:val="00032E5D"/>
    <w:rsid w:val="00035D8A"/>
    <w:rsid w:val="000510A1"/>
    <w:rsid w:val="000557E0"/>
    <w:rsid w:val="00057331"/>
    <w:rsid w:val="000602DD"/>
    <w:rsid w:val="00061388"/>
    <w:rsid w:val="00062597"/>
    <w:rsid w:val="00063CA7"/>
    <w:rsid w:val="0007091B"/>
    <w:rsid w:val="00073693"/>
    <w:rsid w:val="00074E11"/>
    <w:rsid w:val="00076F50"/>
    <w:rsid w:val="00085767"/>
    <w:rsid w:val="00085B3C"/>
    <w:rsid w:val="00093FB0"/>
    <w:rsid w:val="000A104A"/>
    <w:rsid w:val="000A319A"/>
    <w:rsid w:val="000A58B2"/>
    <w:rsid w:val="000B0C28"/>
    <w:rsid w:val="000C387F"/>
    <w:rsid w:val="000C5DC9"/>
    <w:rsid w:val="000C64A6"/>
    <w:rsid w:val="000C71D1"/>
    <w:rsid w:val="000D1333"/>
    <w:rsid w:val="000D354C"/>
    <w:rsid w:val="000D6126"/>
    <w:rsid w:val="000E1D72"/>
    <w:rsid w:val="000E33A7"/>
    <w:rsid w:val="000E4FE2"/>
    <w:rsid w:val="000E6159"/>
    <w:rsid w:val="000F363E"/>
    <w:rsid w:val="000F7766"/>
    <w:rsid w:val="00100645"/>
    <w:rsid w:val="00106054"/>
    <w:rsid w:val="00111C80"/>
    <w:rsid w:val="00113108"/>
    <w:rsid w:val="00113E4D"/>
    <w:rsid w:val="00114E48"/>
    <w:rsid w:val="00115EB3"/>
    <w:rsid w:val="00120DCF"/>
    <w:rsid w:val="00120E5F"/>
    <w:rsid w:val="00121B93"/>
    <w:rsid w:val="00126C5C"/>
    <w:rsid w:val="00127ECF"/>
    <w:rsid w:val="00134D98"/>
    <w:rsid w:val="00141470"/>
    <w:rsid w:val="00143DF6"/>
    <w:rsid w:val="0014795A"/>
    <w:rsid w:val="00151F5F"/>
    <w:rsid w:val="00162046"/>
    <w:rsid w:val="001666AC"/>
    <w:rsid w:val="0016698F"/>
    <w:rsid w:val="001675E1"/>
    <w:rsid w:val="00170249"/>
    <w:rsid w:val="00177246"/>
    <w:rsid w:val="00186937"/>
    <w:rsid w:val="00190132"/>
    <w:rsid w:val="001927F0"/>
    <w:rsid w:val="001944E1"/>
    <w:rsid w:val="00194979"/>
    <w:rsid w:val="00194AD0"/>
    <w:rsid w:val="001A01D5"/>
    <w:rsid w:val="001A2F67"/>
    <w:rsid w:val="001A5223"/>
    <w:rsid w:val="001A5A57"/>
    <w:rsid w:val="001B10A9"/>
    <w:rsid w:val="001B3E1D"/>
    <w:rsid w:val="001C1813"/>
    <w:rsid w:val="001C42B9"/>
    <w:rsid w:val="001D1861"/>
    <w:rsid w:val="001D3CA3"/>
    <w:rsid w:val="001D57D6"/>
    <w:rsid w:val="001E155D"/>
    <w:rsid w:val="001E6CA3"/>
    <w:rsid w:val="001F6AAF"/>
    <w:rsid w:val="001F74EF"/>
    <w:rsid w:val="00202DFC"/>
    <w:rsid w:val="00204ECD"/>
    <w:rsid w:val="00206E4E"/>
    <w:rsid w:val="00213803"/>
    <w:rsid w:val="002169C8"/>
    <w:rsid w:val="0022183B"/>
    <w:rsid w:val="00223969"/>
    <w:rsid w:val="00225704"/>
    <w:rsid w:val="00232EF6"/>
    <w:rsid w:val="00233B5D"/>
    <w:rsid w:val="002417A0"/>
    <w:rsid w:val="0024251C"/>
    <w:rsid w:val="00244FD8"/>
    <w:rsid w:val="00251DCD"/>
    <w:rsid w:val="00253BD3"/>
    <w:rsid w:val="00255D95"/>
    <w:rsid w:val="00257196"/>
    <w:rsid w:val="00262DC3"/>
    <w:rsid w:val="002630F7"/>
    <w:rsid w:val="002642C5"/>
    <w:rsid w:val="002702F2"/>
    <w:rsid w:val="00272FDB"/>
    <w:rsid w:val="002731A2"/>
    <w:rsid w:val="002753B0"/>
    <w:rsid w:val="00284140"/>
    <w:rsid w:val="00294FDE"/>
    <w:rsid w:val="00297BB5"/>
    <w:rsid w:val="002A4606"/>
    <w:rsid w:val="002B2E8F"/>
    <w:rsid w:val="002C21A1"/>
    <w:rsid w:val="002D1CA8"/>
    <w:rsid w:val="002E0F92"/>
    <w:rsid w:val="002E3449"/>
    <w:rsid w:val="002E6ED5"/>
    <w:rsid w:val="002E7A3A"/>
    <w:rsid w:val="002E7D15"/>
    <w:rsid w:val="002F1E77"/>
    <w:rsid w:val="002F207E"/>
    <w:rsid w:val="002F26FB"/>
    <w:rsid w:val="002F70A6"/>
    <w:rsid w:val="00302E5A"/>
    <w:rsid w:val="003061DC"/>
    <w:rsid w:val="00307F0A"/>
    <w:rsid w:val="00310870"/>
    <w:rsid w:val="00324AEC"/>
    <w:rsid w:val="00330447"/>
    <w:rsid w:val="00331872"/>
    <w:rsid w:val="00332145"/>
    <w:rsid w:val="00336754"/>
    <w:rsid w:val="003461EE"/>
    <w:rsid w:val="0035115F"/>
    <w:rsid w:val="0035227A"/>
    <w:rsid w:val="00362A2E"/>
    <w:rsid w:val="00366717"/>
    <w:rsid w:val="00374673"/>
    <w:rsid w:val="00376425"/>
    <w:rsid w:val="00377273"/>
    <w:rsid w:val="0038241A"/>
    <w:rsid w:val="003825B3"/>
    <w:rsid w:val="003832FD"/>
    <w:rsid w:val="00385B9A"/>
    <w:rsid w:val="00396662"/>
    <w:rsid w:val="00397CB3"/>
    <w:rsid w:val="003A2768"/>
    <w:rsid w:val="003A3425"/>
    <w:rsid w:val="003A45D7"/>
    <w:rsid w:val="003A5124"/>
    <w:rsid w:val="003B3F3B"/>
    <w:rsid w:val="003B539F"/>
    <w:rsid w:val="003B7F1A"/>
    <w:rsid w:val="003C17DB"/>
    <w:rsid w:val="003C2519"/>
    <w:rsid w:val="003C44ED"/>
    <w:rsid w:val="003C5004"/>
    <w:rsid w:val="003C5748"/>
    <w:rsid w:val="003C5CF6"/>
    <w:rsid w:val="003D03F3"/>
    <w:rsid w:val="003D6269"/>
    <w:rsid w:val="003E799C"/>
    <w:rsid w:val="003F549A"/>
    <w:rsid w:val="004032C4"/>
    <w:rsid w:val="00403A0F"/>
    <w:rsid w:val="00404006"/>
    <w:rsid w:val="004100C1"/>
    <w:rsid w:val="00411159"/>
    <w:rsid w:val="00414CB0"/>
    <w:rsid w:val="00422705"/>
    <w:rsid w:val="00422A73"/>
    <w:rsid w:val="004279B0"/>
    <w:rsid w:val="00427DA7"/>
    <w:rsid w:val="00431378"/>
    <w:rsid w:val="004340A8"/>
    <w:rsid w:val="00442D46"/>
    <w:rsid w:val="00445196"/>
    <w:rsid w:val="0044615F"/>
    <w:rsid w:val="00446939"/>
    <w:rsid w:val="00452107"/>
    <w:rsid w:val="0045611B"/>
    <w:rsid w:val="00460F3D"/>
    <w:rsid w:val="00467778"/>
    <w:rsid w:val="004757E2"/>
    <w:rsid w:val="004765B1"/>
    <w:rsid w:val="00482AEE"/>
    <w:rsid w:val="004861DF"/>
    <w:rsid w:val="00495E2D"/>
    <w:rsid w:val="004B05B4"/>
    <w:rsid w:val="004C07DE"/>
    <w:rsid w:val="004C12A6"/>
    <w:rsid w:val="004D2486"/>
    <w:rsid w:val="004D3E8E"/>
    <w:rsid w:val="004D66B1"/>
    <w:rsid w:val="004D6C25"/>
    <w:rsid w:val="004E17D7"/>
    <w:rsid w:val="004E5950"/>
    <w:rsid w:val="004E679E"/>
    <w:rsid w:val="004F2E6E"/>
    <w:rsid w:val="00507823"/>
    <w:rsid w:val="00510283"/>
    <w:rsid w:val="00515E76"/>
    <w:rsid w:val="00531150"/>
    <w:rsid w:val="00537703"/>
    <w:rsid w:val="00540AC7"/>
    <w:rsid w:val="00545534"/>
    <w:rsid w:val="005474AD"/>
    <w:rsid w:val="005530DD"/>
    <w:rsid w:val="0055397D"/>
    <w:rsid w:val="00553F1D"/>
    <w:rsid w:val="00555613"/>
    <w:rsid w:val="00565E91"/>
    <w:rsid w:val="00575F8D"/>
    <w:rsid w:val="0057750D"/>
    <w:rsid w:val="00577AD2"/>
    <w:rsid w:val="00580C80"/>
    <w:rsid w:val="005822E3"/>
    <w:rsid w:val="00584123"/>
    <w:rsid w:val="0058641D"/>
    <w:rsid w:val="00587636"/>
    <w:rsid w:val="00591B1D"/>
    <w:rsid w:val="00594B13"/>
    <w:rsid w:val="00597809"/>
    <w:rsid w:val="005A018F"/>
    <w:rsid w:val="005B14FC"/>
    <w:rsid w:val="005B3E96"/>
    <w:rsid w:val="005B663A"/>
    <w:rsid w:val="005E2944"/>
    <w:rsid w:val="005E2C7E"/>
    <w:rsid w:val="005E4C54"/>
    <w:rsid w:val="005E66EF"/>
    <w:rsid w:val="005E7B5E"/>
    <w:rsid w:val="005F2882"/>
    <w:rsid w:val="005F6C1D"/>
    <w:rsid w:val="006000FF"/>
    <w:rsid w:val="0060253B"/>
    <w:rsid w:val="00602D45"/>
    <w:rsid w:val="006038CF"/>
    <w:rsid w:val="006064F9"/>
    <w:rsid w:val="00623926"/>
    <w:rsid w:val="00626CEB"/>
    <w:rsid w:val="006332C1"/>
    <w:rsid w:val="006350B1"/>
    <w:rsid w:val="00647AA1"/>
    <w:rsid w:val="0065041C"/>
    <w:rsid w:val="0065133F"/>
    <w:rsid w:val="00656A1A"/>
    <w:rsid w:val="00664F36"/>
    <w:rsid w:val="00665531"/>
    <w:rsid w:val="006678D8"/>
    <w:rsid w:val="006779A6"/>
    <w:rsid w:val="0068584F"/>
    <w:rsid w:val="006930E4"/>
    <w:rsid w:val="00694F5B"/>
    <w:rsid w:val="00695293"/>
    <w:rsid w:val="0069778D"/>
    <w:rsid w:val="006A3FEE"/>
    <w:rsid w:val="006A4D84"/>
    <w:rsid w:val="006B55FC"/>
    <w:rsid w:val="006D11F4"/>
    <w:rsid w:val="006D1AF4"/>
    <w:rsid w:val="006D3560"/>
    <w:rsid w:val="006D3A4C"/>
    <w:rsid w:val="006D4624"/>
    <w:rsid w:val="006E2FF7"/>
    <w:rsid w:val="006E55CC"/>
    <w:rsid w:val="006E71DF"/>
    <w:rsid w:val="006F6530"/>
    <w:rsid w:val="007038B5"/>
    <w:rsid w:val="007056BC"/>
    <w:rsid w:val="00711FC7"/>
    <w:rsid w:val="0071307D"/>
    <w:rsid w:val="007168F4"/>
    <w:rsid w:val="0071780E"/>
    <w:rsid w:val="00723426"/>
    <w:rsid w:val="00725C95"/>
    <w:rsid w:val="00731B52"/>
    <w:rsid w:val="0073375E"/>
    <w:rsid w:val="00733883"/>
    <w:rsid w:val="0074602F"/>
    <w:rsid w:val="00746771"/>
    <w:rsid w:val="00747BD4"/>
    <w:rsid w:val="0075106D"/>
    <w:rsid w:val="0076195B"/>
    <w:rsid w:val="007664F5"/>
    <w:rsid w:val="00770A4C"/>
    <w:rsid w:val="00785286"/>
    <w:rsid w:val="007911AB"/>
    <w:rsid w:val="00793EEE"/>
    <w:rsid w:val="007A2222"/>
    <w:rsid w:val="007A6AF7"/>
    <w:rsid w:val="007B1F01"/>
    <w:rsid w:val="007B5CA4"/>
    <w:rsid w:val="007C121E"/>
    <w:rsid w:val="007C2447"/>
    <w:rsid w:val="007C42A9"/>
    <w:rsid w:val="007C7B36"/>
    <w:rsid w:val="007D1DD0"/>
    <w:rsid w:val="007D2D1A"/>
    <w:rsid w:val="007D6864"/>
    <w:rsid w:val="007E3722"/>
    <w:rsid w:val="007E69C0"/>
    <w:rsid w:val="007F19F1"/>
    <w:rsid w:val="007F3E82"/>
    <w:rsid w:val="00803DAD"/>
    <w:rsid w:val="008100D2"/>
    <w:rsid w:val="00813A71"/>
    <w:rsid w:val="00814683"/>
    <w:rsid w:val="008224C8"/>
    <w:rsid w:val="00826491"/>
    <w:rsid w:val="00835904"/>
    <w:rsid w:val="008416CD"/>
    <w:rsid w:val="00847842"/>
    <w:rsid w:val="00853985"/>
    <w:rsid w:val="00853BCE"/>
    <w:rsid w:val="00861EF5"/>
    <w:rsid w:val="008625ED"/>
    <w:rsid w:val="00863B7A"/>
    <w:rsid w:val="00864F80"/>
    <w:rsid w:val="008663DC"/>
    <w:rsid w:val="00872B82"/>
    <w:rsid w:val="00884DEC"/>
    <w:rsid w:val="00890D0B"/>
    <w:rsid w:val="008915B3"/>
    <w:rsid w:val="00895CC4"/>
    <w:rsid w:val="008A2384"/>
    <w:rsid w:val="008B0846"/>
    <w:rsid w:val="008B250B"/>
    <w:rsid w:val="008B43A0"/>
    <w:rsid w:val="008B497D"/>
    <w:rsid w:val="008B6B70"/>
    <w:rsid w:val="008C02B3"/>
    <w:rsid w:val="008C0641"/>
    <w:rsid w:val="008C50BB"/>
    <w:rsid w:val="008E0714"/>
    <w:rsid w:val="008E7FE8"/>
    <w:rsid w:val="008F2E98"/>
    <w:rsid w:val="008F3A5A"/>
    <w:rsid w:val="008F41D4"/>
    <w:rsid w:val="008F6B2C"/>
    <w:rsid w:val="0090227E"/>
    <w:rsid w:val="00903D7F"/>
    <w:rsid w:val="009052D2"/>
    <w:rsid w:val="00913F17"/>
    <w:rsid w:val="00920801"/>
    <w:rsid w:val="009268B2"/>
    <w:rsid w:val="009300D9"/>
    <w:rsid w:val="00934E96"/>
    <w:rsid w:val="00943DE4"/>
    <w:rsid w:val="00950A44"/>
    <w:rsid w:val="009700B1"/>
    <w:rsid w:val="0097081B"/>
    <w:rsid w:val="009730E8"/>
    <w:rsid w:val="00973B51"/>
    <w:rsid w:val="00975139"/>
    <w:rsid w:val="00981D1A"/>
    <w:rsid w:val="00990609"/>
    <w:rsid w:val="009943F4"/>
    <w:rsid w:val="009A5C0D"/>
    <w:rsid w:val="009A732C"/>
    <w:rsid w:val="009B3E19"/>
    <w:rsid w:val="009B5AE5"/>
    <w:rsid w:val="009C1284"/>
    <w:rsid w:val="009C5605"/>
    <w:rsid w:val="009C7158"/>
    <w:rsid w:val="009D1E25"/>
    <w:rsid w:val="009D3302"/>
    <w:rsid w:val="009D5211"/>
    <w:rsid w:val="009E625B"/>
    <w:rsid w:val="009F13CD"/>
    <w:rsid w:val="009F1898"/>
    <w:rsid w:val="009F4BA7"/>
    <w:rsid w:val="00A047F3"/>
    <w:rsid w:val="00A06D54"/>
    <w:rsid w:val="00A158D1"/>
    <w:rsid w:val="00A16893"/>
    <w:rsid w:val="00A202D2"/>
    <w:rsid w:val="00A212DB"/>
    <w:rsid w:val="00A263CC"/>
    <w:rsid w:val="00A33373"/>
    <w:rsid w:val="00A34735"/>
    <w:rsid w:val="00A35202"/>
    <w:rsid w:val="00A35E3A"/>
    <w:rsid w:val="00A36063"/>
    <w:rsid w:val="00A378AD"/>
    <w:rsid w:val="00A40F46"/>
    <w:rsid w:val="00A53956"/>
    <w:rsid w:val="00A56339"/>
    <w:rsid w:val="00A66DA3"/>
    <w:rsid w:val="00A74B5C"/>
    <w:rsid w:val="00A80C04"/>
    <w:rsid w:val="00A81D0E"/>
    <w:rsid w:val="00A82A08"/>
    <w:rsid w:val="00A90360"/>
    <w:rsid w:val="00A93825"/>
    <w:rsid w:val="00AA24FB"/>
    <w:rsid w:val="00AA47B4"/>
    <w:rsid w:val="00AA6C9D"/>
    <w:rsid w:val="00AB2835"/>
    <w:rsid w:val="00AB39C1"/>
    <w:rsid w:val="00AB4245"/>
    <w:rsid w:val="00AD1D5A"/>
    <w:rsid w:val="00AD59C5"/>
    <w:rsid w:val="00AE20C9"/>
    <w:rsid w:val="00AE7992"/>
    <w:rsid w:val="00AF12A4"/>
    <w:rsid w:val="00AF5324"/>
    <w:rsid w:val="00AF65C5"/>
    <w:rsid w:val="00B06D99"/>
    <w:rsid w:val="00B15CFB"/>
    <w:rsid w:val="00B16054"/>
    <w:rsid w:val="00B216F9"/>
    <w:rsid w:val="00B249E4"/>
    <w:rsid w:val="00B24B0B"/>
    <w:rsid w:val="00B31A5E"/>
    <w:rsid w:val="00B326BD"/>
    <w:rsid w:val="00B32D9D"/>
    <w:rsid w:val="00B33327"/>
    <w:rsid w:val="00B34DAB"/>
    <w:rsid w:val="00B43FE4"/>
    <w:rsid w:val="00B46FBE"/>
    <w:rsid w:val="00B50F47"/>
    <w:rsid w:val="00B522AF"/>
    <w:rsid w:val="00B5327D"/>
    <w:rsid w:val="00B56D1A"/>
    <w:rsid w:val="00B605A7"/>
    <w:rsid w:val="00B62EBE"/>
    <w:rsid w:val="00B66A68"/>
    <w:rsid w:val="00B75D64"/>
    <w:rsid w:val="00B76A4D"/>
    <w:rsid w:val="00B76ED7"/>
    <w:rsid w:val="00B8682E"/>
    <w:rsid w:val="00B93214"/>
    <w:rsid w:val="00B94862"/>
    <w:rsid w:val="00B962A7"/>
    <w:rsid w:val="00BB2048"/>
    <w:rsid w:val="00BB26CC"/>
    <w:rsid w:val="00BB6DD0"/>
    <w:rsid w:val="00BC065F"/>
    <w:rsid w:val="00BC0B1C"/>
    <w:rsid w:val="00BC16CE"/>
    <w:rsid w:val="00BD1601"/>
    <w:rsid w:val="00BD4E2D"/>
    <w:rsid w:val="00BD5456"/>
    <w:rsid w:val="00BD65C7"/>
    <w:rsid w:val="00BE2C4C"/>
    <w:rsid w:val="00BE6264"/>
    <w:rsid w:val="00BF4A6A"/>
    <w:rsid w:val="00C04B81"/>
    <w:rsid w:val="00C04FB2"/>
    <w:rsid w:val="00C05C32"/>
    <w:rsid w:val="00C06747"/>
    <w:rsid w:val="00C0772C"/>
    <w:rsid w:val="00C07A6E"/>
    <w:rsid w:val="00C11D8B"/>
    <w:rsid w:val="00C121B5"/>
    <w:rsid w:val="00C127EA"/>
    <w:rsid w:val="00C13B38"/>
    <w:rsid w:val="00C363AC"/>
    <w:rsid w:val="00C373B5"/>
    <w:rsid w:val="00C427C9"/>
    <w:rsid w:val="00C509CE"/>
    <w:rsid w:val="00C50BE9"/>
    <w:rsid w:val="00C63A94"/>
    <w:rsid w:val="00C66A64"/>
    <w:rsid w:val="00C83C8D"/>
    <w:rsid w:val="00C84271"/>
    <w:rsid w:val="00C94AE4"/>
    <w:rsid w:val="00C94CFA"/>
    <w:rsid w:val="00C9615F"/>
    <w:rsid w:val="00CA198A"/>
    <w:rsid w:val="00CA22D3"/>
    <w:rsid w:val="00CB5342"/>
    <w:rsid w:val="00CB5346"/>
    <w:rsid w:val="00CC1084"/>
    <w:rsid w:val="00CC1FC5"/>
    <w:rsid w:val="00CD02B0"/>
    <w:rsid w:val="00CD0FE8"/>
    <w:rsid w:val="00CD4F29"/>
    <w:rsid w:val="00CD74AD"/>
    <w:rsid w:val="00CE1CD9"/>
    <w:rsid w:val="00CE30DB"/>
    <w:rsid w:val="00D034BB"/>
    <w:rsid w:val="00D0403D"/>
    <w:rsid w:val="00D14BA3"/>
    <w:rsid w:val="00D27E32"/>
    <w:rsid w:val="00D40B10"/>
    <w:rsid w:val="00D54050"/>
    <w:rsid w:val="00D63856"/>
    <w:rsid w:val="00D63F90"/>
    <w:rsid w:val="00D675AE"/>
    <w:rsid w:val="00D72E6B"/>
    <w:rsid w:val="00D73AD6"/>
    <w:rsid w:val="00D75C67"/>
    <w:rsid w:val="00D827BB"/>
    <w:rsid w:val="00D82B54"/>
    <w:rsid w:val="00D86156"/>
    <w:rsid w:val="00DA15B9"/>
    <w:rsid w:val="00DB2CA1"/>
    <w:rsid w:val="00DC34E1"/>
    <w:rsid w:val="00DC476D"/>
    <w:rsid w:val="00DD071C"/>
    <w:rsid w:val="00DD3F12"/>
    <w:rsid w:val="00DE360F"/>
    <w:rsid w:val="00DE424C"/>
    <w:rsid w:val="00DE71C0"/>
    <w:rsid w:val="00E0290A"/>
    <w:rsid w:val="00E13411"/>
    <w:rsid w:val="00E1673C"/>
    <w:rsid w:val="00E24C00"/>
    <w:rsid w:val="00E258AB"/>
    <w:rsid w:val="00E31E73"/>
    <w:rsid w:val="00E333B1"/>
    <w:rsid w:val="00E412E5"/>
    <w:rsid w:val="00E439F5"/>
    <w:rsid w:val="00E507EC"/>
    <w:rsid w:val="00E554F7"/>
    <w:rsid w:val="00E57C55"/>
    <w:rsid w:val="00E60DDF"/>
    <w:rsid w:val="00E70BD7"/>
    <w:rsid w:val="00E72BEE"/>
    <w:rsid w:val="00E72EEA"/>
    <w:rsid w:val="00E76F7D"/>
    <w:rsid w:val="00E912A3"/>
    <w:rsid w:val="00E91708"/>
    <w:rsid w:val="00E95614"/>
    <w:rsid w:val="00E96CEB"/>
    <w:rsid w:val="00EA4BD9"/>
    <w:rsid w:val="00EA4E47"/>
    <w:rsid w:val="00EB35BC"/>
    <w:rsid w:val="00EB6E97"/>
    <w:rsid w:val="00ED12F3"/>
    <w:rsid w:val="00ED38D5"/>
    <w:rsid w:val="00EF0218"/>
    <w:rsid w:val="00EF0942"/>
    <w:rsid w:val="00EF0B73"/>
    <w:rsid w:val="00EF6B7A"/>
    <w:rsid w:val="00F057DB"/>
    <w:rsid w:val="00F114AB"/>
    <w:rsid w:val="00F20CE7"/>
    <w:rsid w:val="00F3126D"/>
    <w:rsid w:val="00F32C66"/>
    <w:rsid w:val="00F359AD"/>
    <w:rsid w:val="00F365D5"/>
    <w:rsid w:val="00F36B09"/>
    <w:rsid w:val="00F43106"/>
    <w:rsid w:val="00F46C29"/>
    <w:rsid w:val="00F558BB"/>
    <w:rsid w:val="00F724F6"/>
    <w:rsid w:val="00F72B48"/>
    <w:rsid w:val="00F76DDC"/>
    <w:rsid w:val="00F81EB7"/>
    <w:rsid w:val="00F9018C"/>
    <w:rsid w:val="00FA094A"/>
    <w:rsid w:val="00FA3BDF"/>
    <w:rsid w:val="00FA67E8"/>
    <w:rsid w:val="00FA6FE0"/>
    <w:rsid w:val="00FA72E2"/>
    <w:rsid w:val="00FB71C6"/>
    <w:rsid w:val="00FC2925"/>
    <w:rsid w:val="00FC49C9"/>
    <w:rsid w:val="00FC593C"/>
    <w:rsid w:val="00FD6838"/>
    <w:rsid w:val="00FD693B"/>
    <w:rsid w:val="00FE3C76"/>
    <w:rsid w:val="00FE65F2"/>
    <w:rsid w:val="00FE6F63"/>
    <w:rsid w:val="00FF42E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04"/>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
    <w:next w:val="Normal"/>
    <w:link w:val="Ttulo1Car"/>
    <w:uiPriority w:val="9"/>
    <w:qFormat/>
    <w:rsid w:val="00225704"/>
    <w:pPr>
      <w:keepNext/>
      <w:jc w:val="center"/>
      <w:outlineLvl w:val="0"/>
    </w:pPr>
    <w:rPr>
      <w:rFonts w:ascii="Arial" w:hAnsi="Arial"/>
      <w:b/>
      <w:snapToGrid w:val="0"/>
      <w:sz w:val="24"/>
    </w:rPr>
  </w:style>
  <w:style w:type="paragraph" w:styleId="Ttulo2">
    <w:name w:val="heading 2"/>
    <w:basedOn w:val="Normal"/>
    <w:link w:val="Ttulo2Car"/>
    <w:uiPriority w:val="9"/>
    <w:qFormat/>
    <w:rsid w:val="00225704"/>
    <w:pPr>
      <w:tabs>
        <w:tab w:val="clear" w:pos="1531"/>
      </w:tabs>
      <w:spacing w:before="100" w:beforeAutospacing="1" w:afterAutospacing="1"/>
      <w:jc w:val="left"/>
      <w:outlineLvl w:val="1"/>
    </w:pPr>
    <w:rPr>
      <w:rFonts w:ascii="Times New Roman" w:hAnsi="Times New Roman"/>
      <w:b/>
      <w:bCs/>
      <w:color w:val="18284A"/>
      <w:szCs w:val="22"/>
    </w:rPr>
  </w:style>
  <w:style w:type="paragraph" w:styleId="Ttulo3">
    <w:name w:val="heading 3"/>
    <w:basedOn w:val="Normal"/>
    <w:next w:val="Normal"/>
    <w:link w:val="Ttulo3Car"/>
    <w:uiPriority w:val="9"/>
    <w:qFormat/>
    <w:rsid w:val="00225704"/>
    <w:pPr>
      <w:keepNext/>
      <w:numPr>
        <w:ilvl w:val="3"/>
        <w:numId w:val="1"/>
      </w:numPr>
      <w:tabs>
        <w:tab w:val="clear" w:pos="1531"/>
        <w:tab w:val="clear" w:pos="2880"/>
      </w:tabs>
      <w:spacing w:after="0"/>
      <w:ind w:left="360"/>
      <w:outlineLvl w:val="2"/>
    </w:pPr>
    <w:rPr>
      <w:rFonts w:ascii="Times New Roman" w:eastAsia="MS Mincho"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5704"/>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uiPriority w:val="9"/>
    <w:rsid w:val="00225704"/>
    <w:rPr>
      <w:rFonts w:ascii="Times New Roman" w:eastAsia="Times New Roman" w:hAnsi="Times New Roman" w:cs="Times New Roman"/>
      <w:b/>
      <w:bCs/>
      <w:color w:val="18284A"/>
      <w:lang w:val="es-ES" w:eastAsia="es-ES"/>
    </w:rPr>
  </w:style>
  <w:style w:type="character" w:customStyle="1" w:styleId="Ttulo3Car">
    <w:name w:val="Título 3 Car"/>
    <w:basedOn w:val="Fuentedeprrafopredeter"/>
    <w:link w:val="Ttulo3"/>
    <w:uiPriority w:val="9"/>
    <w:rsid w:val="00225704"/>
    <w:rPr>
      <w:rFonts w:ascii="Times New Roman" w:eastAsia="MS Mincho" w:hAnsi="Times New Roman" w:cs="Times New Roman"/>
      <w:b/>
      <w:bCs/>
      <w:sz w:val="24"/>
      <w:szCs w:val="24"/>
      <w:lang w:val="es-ES" w:eastAsia="es-ES"/>
    </w:rPr>
  </w:style>
  <w:style w:type="paragraph" w:customStyle="1" w:styleId="INDICTAB1">
    <w:name w:val="INDICTAB1"/>
    <w:basedOn w:val="Normal"/>
    <w:rsid w:val="00225704"/>
    <w:pPr>
      <w:tabs>
        <w:tab w:val="left" w:pos="1588"/>
        <w:tab w:val="left" w:pos="1701"/>
        <w:tab w:val="right" w:leader="dot" w:pos="7938"/>
        <w:tab w:val="right" w:pos="8618"/>
      </w:tabs>
      <w:ind w:left="1417" w:hanging="1417"/>
    </w:pPr>
    <w:rPr>
      <w:snapToGrid w:val="0"/>
      <w:spacing w:val="15"/>
      <w:sz w:val="21"/>
    </w:rPr>
  </w:style>
  <w:style w:type="paragraph" w:customStyle="1" w:styleId="Subttulo1">
    <w:name w:val="Subtítulo 1"/>
    <w:rsid w:val="00225704"/>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customStyle="1" w:styleId="Subttulo2">
    <w:name w:val="Subtítulo 2"/>
    <w:basedOn w:val="Subttulo1"/>
    <w:rsid w:val="00225704"/>
    <w:rPr>
      <w:b w:val="0"/>
      <w:i/>
      <w:color w:val="auto"/>
      <w:sz w:val="20"/>
    </w:rPr>
  </w:style>
  <w:style w:type="paragraph" w:customStyle="1" w:styleId="artculo">
    <w:name w:val="artículo"/>
    <w:basedOn w:val="Normal"/>
    <w:next w:val="Normal"/>
    <w:rsid w:val="00225704"/>
    <w:pPr>
      <w:tabs>
        <w:tab w:val="left" w:pos="397"/>
      </w:tabs>
      <w:spacing w:before="142" w:after="28"/>
      <w:ind w:firstLine="283"/>
    </w:pPr>
    <w:rPr>
      <w:rFonts w:ascii="Switzerland" w:hAnsi="Switzerland"/>
      <w:b/>
      <w:snapToGrid w:val="0"/>
      <w:sz w:val="16"/>
    </w:rPr>
  </w:style>
  <w:style w:type="paragraph" w:customStyle="1" w:styleId="normalsangrdtab1">
    <w:name w:val="normal sangrd tab1"/>
    <w:basedOn w:val="Normal"/>
    <w:rsid w:val="00225704"/>
    <w:pPr>
      <w:tabs>
        <w:tab w:val="left" w:pos="1134"/>
      </w:tabs>
      <w:spacing w:before="28"/>
      <w:ind w:left="397" w:hanging="397"/>
    </w:pPr>
    <w:rPr>
      <w:snapToGrid w:val="0"/>
    </w:rPr>
  </w:style>
  <w:style w:type="paragraph" w:customStyle="1" w:styleId="normalsubprrf">
    <w:name w:val="normal subprrf"/>
    <w:basedOn w:val="Normal"/>
    <w:rsid w:val="00225704"/>
    <w:pPr>
      <w:tabs>
        <w:tab w:val="left" w:pos="283"/>
      </w:tabs>
      <w:spacing w:after="28"/>
      <w:ind w:left="283" w:hanging="227"/>
    </w:pPr>
    <w:rPr>
      <w:rFonts w:ascii="Switzerland" w:hAnsi="Switzerland"/>
      <w:snapToGrid w:val="0"/>
      <w:sz w:val="16"/>
    </w:rPr>
  </w:style>
  <w:style w:type="paragraph" w:customStyle="1" w:styleId="SUBTIT3">
    <w:name w:val="SUBTIT3"/>
    <w:basedOn w:val="normalsubprrf"/>
    <w:next w:val="normalsubprrf"/>
    <w:rsid w:val="00225704"/>
    <w:pPr>
      <w:keepLines/>
      <w:tabs>
        <w:tab w:val="clear" w:pos="283"/>
      </w:tabs>
      <w:ind w:left="567" w:hanging="284"/>
    </w:pPr>
  </w:style>
  <w:style w:type="paragraph" w:customStyle="1" w:styleId="glosario">
    <w:name w:val="glosario"/>
    <w:basedOn w:val="normalsubprrf"/>
    <w:next w:val="normalsubprrf"/>
    <w:rsid w:val="00225704"/>
    <w:pPr>
      <w:spacing w:before="85"/>
    </w:pPr>
  </w:style>
  <w:style w:type="character" w:customStyle="1" w:styleId="MapadeldocumentoCar">
    <w:name w:val="Mapa del documento Car"/>
    <w:basedOn w:val="Fuentedeprrafopredeter"/>
    <w:link w:val="Mapadeldocumento"/>
    <w:semiHidden/>
    <w:rsid w:val="00225704"/>
    <w:rPr>
      <w:rFonts w:ascii="Tahoma" w:eastAsia="Times New Roman" w:hAnsi="Tahoma" w:cs="Times New Roman"/>
      <w:szCs w:val="20"/>
      <w:shd w:val="clear" w:color="auto" w:fill="000080"/>
      <w:lang w:val="es-ES" w:eastAsia="es-ES"/>
    </w:rPr>
  </w:style>
  <w:style w:type="paragraph" w:styleId="Mapadeldocumento">
    <w:name w:val="Document Map"/>
    <w:basedOn w:val="Normal"/>
    <w:link w:val="MapadeldocumentoCar"/>
    <w:semiHidden/>
    <w:rsid w:val="00225704"/>
    <w:pPr>
      <w:shd w:val="clear" w:color="auto" w:fill="000080"/>
    </w:pPr>
    <w:rPr>
      <w:rFonts w:ascii="Tahoma" w:hAnsi="Tahoma"/>
    </w:rPr>
  </w:style>
  <w:style w:type="paragraph" w:styleId="Textonotapie">
    <w:name w:val="footnote text"/>
    <w:basedOn w:val="Normal"/>
    <w:link w:val="TextonotapieCar"/>
    <w:uiPriority w:val="99"/>
    <w:semiHidden/>
    <w:rsid w:val="00225704"/>
    <w:pPr>
      <w:tabs>
        <w:tab w:val="left" w:pos="284"/>
      </w:tabs>
      <w:ind w:left="284" w:hanging="284"/>
    </w:pPr>
    <w:rPr>
      <w:color w:val="000080"/>
      <w:sz w:val="20"/>
    </w:rPr>
  </w:style>
  <w:style w:type="character" w:customStyle="1" w:styleId="TextonotapieCar">
    <w:name w:val="Texto nota pie Car"/>
    <w:basedOn w:val="Fuentedeprrafopredeter"/>
    <w:link w:val="Textonotapie"/>
    <w:uiPriority w:val="99"/>
    <w:semiHidden/>
    <w:rsid w:val="00225704"/>
    <w:rPr>
      <w:rFonts w:ascii="Arial Narrow" w:eastAsia="Times New Roman" w:hAnsi="Arial Narrow" w:cs="Times New Roman"/>
      <w:color w:val="000080"/>
      <w:sz w:val="20"/>
      <w:szCs w:val="20"/>
      <w:lang w:val="es-ES" w:eastAsia="es-ES"/>
    </w:rPr>
  </w:style>
  <w:style w:type="paragraph" w:customStyle="1" w:styleId="Normalsangrdtab2">
    <w:name w:val="Normal sangrd tab2"/>
    <w:rsid w:val="00225704"/>
    <w:pPr>
      <w:tabs>
        <w:tab w:val="left" w:pos="794"/>
      </w:tabs>
      <w:spacing w:after="120" w:line="240" w:lineRule="auto"/>
      <w:ind w:left="794" w:hanging="397"/>
      <w:jc w:val="both"/>
    </w:pPr>
    <w:rPr>
      <w:rFonts w:ascii="Arial Narrow" w:eastAsia="Times New Roman" w:hAnsi="Arial Narrow" w:cs="Times New Roman"/>
      <w:noProof/>
      <w:szCs w:val="20"/>
      <w:lang w:val="es-ES" w:eastAsia="es-ES"/>
    </w:rPr>
  </w:style>
  <w:style w:type="paragraph" w:customStyle="1" w:styleId="NormalBold">
    <w:name w:val="Normal Bold"/>
    <w:basedOn w:val="Normal"/>
    <w:rsid w:val="00225704"/>
    <w:pPr>
      <w:tabs>
        <w:tab w:val="left" w:pos="1503"/>
      </w:tabs>
      <w:spacing w:before="160" w:after="80"/>
      <w:ind w:left="1503" w:hanging="1503"/>
    </w:pPr>
    <w:rPr>
      <w:b/>
    </w:rPr>
  </w:style>
  <w:style w:type="paragraph" w:customStyle="1" w:styleId="NormalConcord-CONST">
    <w:name w:val="Normal Concord- CONST."/>
    <w:basedOn w:val="Normal"/>
    <w:rsid w:val="00225704"/>
    <w:pPr>
      <w:ind w:left="1531" w:hanging="1531"/>
    </w:pPr>
  </w:style>
  <w:style w:type="paragraph" w:styleId="Piedepgina">
    <w:name w:val="footer"/>
    <w:basedOn w:val="Normal"/>
    <w:link w:val="PiedepginaCar"/>
    <w:uiPriority w:val="99"/>
    <w:rsid w:val="00225704"/>
    <w:pPr>
      <w:tabs>
        <w:tab w:val="clear" w:pos="1531"/>
        <w:tab w:val="center" w:pos="4252"/>
        <w:tab w:val="right" w:pos="8504"/>
      </w:tabs>
    </w:pPr>
  </w:style>
  <w:style w:type="character" w:customStyle="1" w:styleId="PiedepginaCar">
    <w:name w:val="Pie de página Car"/>
    <w:basedOn w:val="Fuentedeprrafopredeter"/>
    <w:link w:val="Piedepgina"/>
    <w:uiPriority w:val="99"/>
    <w:rsid w:val="00225704"/>
    <w:rPr>
      <w:rFonts w:ascii="Arial Narrow" w:eastAsia="Times New Roman" w:hAnsi="Arial Narrow" w:cs="Times New Roman"/>
      <w:szCs w:val="20"/>
      <w:lang w:val="es-ES" w:eastAsia="es-ES"/>
    </w:rPr>
  </w:style>
  <w:style w:type="character" w:styleId="Nmerodepgina">
    <w:name w:val="page number"/>
    <w:basedOn w:val="Fuentedeprrafopredeter"/>
    <w:rsid w:val="00225704"/>
  </w:style>
  <w:style w:type="paragraph" w:styleId="Textoindependiente">
    <w:name w:val="Body Text"/>
    <w:basedOn w:val="Normal"/>
    <w:link w:val="TextoindependienteCar"/>
    <w:rsid w:val="00225704"/>
    <w:pPr>
      <w:tabs>
        <w:tab w:val="clear" w:pos="1531"/>
      </w:tabs>
      <w:spacing w:after="0"/>
    </w:pPr>
  </w:style>
  <w:style w:type="character" w:customStyle="1" w:styleId="TextoindependienteCar">
    <w:name w:val="Texto independiente Car"/>
    <w:basedOn w:val="Fuentedeprrafopredeter"/>
    <w:link w:val="Textoindependiente"/>
    <w:rsid w:val="00225704"/>
    <w:rPr>
      <w:rFonts w:ascii="Arial Narrow" w:eastAsia="Times New Roman" w:hAnsi="Arial Narrow" w:cs="Times New Roman"/>
      <w:szCs w:val="20"/>
      <w:lang w:val="es-ES" w:eastAsia="es-ES"/>
    </w:rPr>
  </w:style>
  <w:style w:type="paragraph" w:styleId="Sangradetextonormal">
    <w:name w:val="Body Text Indent"/>
    <w:basedOn w:val="Normal"/>
    <w:link w:val="SangradetextonormalCar"/>
    <w:rsid w:val="00225704"/>
    <w:pPr>
      <w:tabs>
        <w:tab w:val="clear" w:pos="1531"/>
      </w:tabs>
      <w:spacing w:after="0"/>
      <w:ind w:left="284"/>
      <w:jc w:val="left"/>
    </w:pPr>
    <w:rPr>
      <w:spacing w:val="200"/>
    </w:rPr>
  </w:style>
  <w:style w:type="character" w:customStyle="1" w:styleId="SangradetextonormalCar">
    <w:name w:val="Sangría de texto normal Car"/>
    <w:basedOn w:val="Fuentedeprrafopredeter"/>
    <w:link w:val="Sangradetextonormal"/>
    <w:rsid w:val="00225704"/>
    <w:rPr>
      <w:rFonts w:ascii="Arial Narrow" w:eastAsia="Times New Roman" w:hAnsi="Arial Narrow" w:cs="Times New Roman"/>
      <w:spacing w:val="200"/>
      <w:szCs w:val="20"/>
      <w:lang w:val="es-ES" w:eastAsia="es-ES"/>
    </w:rPr>
  </w:style>
  <w:style w:type="paragraph" w:styleId="Textoindependiente2">
    <w:name w:val="Body Text 2"/>
    <w:basedOn w:val="Normal"/>
    <w:link w:val="Textoindependiente2Car"/>
    <w:rsid w:val="00225704"/>
    <w:rPr>
      <w:color w:val="000080"/>
    </w:rPr>
  </w:style>
  <w:style w:type="character" w:customStyle="1" w:styleId="Textoindependiente2Car">
    <w:name w:val="Texto independiente 2 Car"/>
    <w:basedOn w:val="Fuentedeprrafopredeter"/>
    <w:link w:val="Textoindependiente2"/>
    <w:rsid w:val="00225704"/>
    <w:rPr>
      <w:rFonts w:ascii="Arial Narrow" w:eastAsia="Times New Roman" w:hAnsi="Arial Narrow" w:cs="Times New Roman"/>
      <w:color w:val="000080"/>
      <w:szCs w:val="20"/>
      <w:lang w:val="es-ES" w:eastAsia="es-ES"/>
    </w:rPr>
  </w:style>
  <w:style w:type="paragraph" w:styleId="Textoindependiente3">
    <w:name w:val="Body Text 3"/>
    <w:basedOn w:val="Normal"/>
    <w:link w:val="Textoindependiente3Car"/>
    <w:rsid w:val="00225704"/>
    <w:rPr>
      <w:color w:val="000080"/>
      <w:sz w:val="20"/>
    </w:rPr>
  </w:style>
  <w:style w:type="character" w:customStyle="1" w:styleId="Textoindependiente3Car">
    <w:name w:val="Texto independiente 3 Car"/>
    <w:basedOn w:val="Fuentedeprrafopredeter"/>
    <w:link w:val="Textoindependiente3"/>
    <w:rsid w:val="00225704"/>
    <w:rPr>
      <w:rFonts w:ascii="Arial Narrow" w:eastAsia="Times New Roman" w:hAnsi="Arial Narrow" w:cs="Times New Roman"/>
      <w:color w:val="000080"/>
      <w:sz w:val="20"/>
      <w:szCs w:val="20"/>
      <w:lang w:val="es-ES" w:eastAsia="es-ES"/>
    </w:rPr>
  </w:style>
  <w:style w:type="paragraph" w:styleId="Sangra2detindependiente">
    <w:name w:val="Body Text Indent 2"/>
    <w:basedOn w:val="Normal"/>
    <w:link w:val="Sangra2detindependienteCar"/>
    <w:rsid w:val="00225704"/>
    <w:pPr>
      <w:tabs>
        <w:tab w:val="clear" w:pos="1531"/>
        <w:tab w:val="left" w:pos="1560"/>
      </w:tabs>
      <w:ind w:left="1560" w:hanging="1560"/>
    </w:pPr>
  </w:style>
  <w:style w:type="character" w:customStyle="1" w:styleId="Sangra2detindependienteCar">
    <w:name w:val="Sangría 2 de t. independiente Car"/>
    <w:basedOn w:val="Fuentedeprrafopredeter"/>
    <w:link w:val="Sangra2detindependiente"/>
    <w:rsid w:val="00225704"/>
    <w:rPr>
      <w:rFonts w:ascii="Arial Narrow" w:eastAsia="Times New Roman" w:hAnsi="Arial Narrow" w:cs="Times New Roman"/>
      <w:szCs w:val="20"/>
      <w:lang w:val="es-ES" w:eastAsia="es-ES"/>
    </w:rPr>
  </w:style>
  <w:style w:type="paragraph" w:styleId="Encabezado">
    <w:name w:val="header"/>
    <w:basedOn w:val="Normal"/>
    <w:link w:val="EncabezadoCar"/>
    <w:uiPriority w:val="99"/>
    <w:rsid w:val="00225704"/>
    <w:pPr>
      <w:tabs>
        <w:tab w:val="clear" w:pos="1531"/>
        <w:tab w:val="center" w:pos="4419"/>
        <w:tab w:val="right" w:pos="8838"/>
      </w:tabs>
    </w:pPr>
  </w:style>
  <w:style w:type="character" w:customStyle="1" w:styleId="EncabezadoCar">
    <w:name w:val="Encabezado Car"/>
    <w:basedOn w:val="Fuentedeprrafopredeter"/>
    <w:link w:val="Encabezado"/>
    <w:uiPriority w:val="99"/>
    <w:rsid w:val="00225704"/>
    <w:rPr>
      <w:rFonts w:ascii="Arial Narrow" w:eastAsia="Times New Roman" w:hAnsi="Arial Narrow" w:cs="Times New Roman"/>
      <w:szCs w:val="20"/>
      <w:lang w:val="es-ES" w:eastAsia="es-ES"/>
    </w:rPr>
  </w:style>
  <w:style w:type="paragraph" w:customStyle="1" w:styleId="Cuerpo">
    <w:name w:val="Cuerpo"/>
    <w:rsid w:val="00225704"/>
    <w:pPr>
      <w:tabs>
        <w:tab w:val="left" w:pos="240"/>
      </w:tabs>
      <w:spacing w:after="0" w:line="170" w:lineRule="atLeast"/>
      <w:jc w:val="both"/>
    </w:pPr>
    <w:rPr>
      <w:rFonts w:ascii="Arial" w:eastAsia="Times New Roman" w:hAnsi="Arial" w:cs="Times New Roman"/>
      <w:color w:val="000000"/>
      <w:sz w:val="16"/>
      <w:szCs w:val="20"/>
      <w:lang w:val="es-ES_tradnl" w:eastAsia="es-ES"/>
    </w:rPr>
  </w:style>
  <w:style w:type="character" w:customStyle="1" w:styleId="TextodegloboCar">
    <w:name w:val="Texto de globo Car"/>
    <w:basedOn w:val="Fuentedeprrafopredeter"/>
    <w:link w:val="Textodeglobo"/>
    <w:semiHidden/>
    <w:rsid w:val="00225704"/>
    <w:rPr>
      <w:rFonts w:ascii="Tahoma" w:eastAsia="Times New Roman" w:hAnsi="Tahoma" w:cs="Tahoma"/>
      <w:sz w:val="16"/>
      <w:szCs w:val="16"/>
      <w:lang w:val="es-ES" w:eastAsia="es-ES"/>
    </w:rPr>
  </w:style>
  <w:style w:type="paragraph" w:styleId="Textodeglobo">
    <w:name w:val="Balloon Text"/>
    <w:basedOn w:val="Normal"/>
    <w:link w:val="TextodegloboCar"/>
    <w:semiHidden/>
    <w:rsid w:val="00225704"/>
    <w:rPr>
      <w:rFonts w:ascii="Tahoma" w:hAnsi="Tahoma" w:cs="Tahoma"/>
      <w:sz w:val="16"/>
      <w:szCs w:val="16"/>
    </w:rPr>
  </w:style>
  <w:style w:type="character" w:customStyle="1" w:styleId="TextocomentarioCar">
    <w:name w:val="Texto comentario Car"/>
    <w:basedOn w:val="Fuentedeprrafopredeter"/>
    <w:link w:val="Textocomentario"/>
    <w:semiHidden/>
    <w:rsid w:val="00225704"/>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semiHidden/>
    <w:rsid w:val="00225704"/>
    <w:rPr>
      <w:sz w:val="20"/>
    </w:rPr>
  </w:style>
  <w:style w:type="character" w:customStyle="1" w:styleId="AsuntodelcomentarioCar">
    <w:name w:val="Asunto del comentario Car"/>
    <w:basedOn w:val="TextocomentarioCar"/>
    <w:link w:val="Asuntodelcomentario"/>
    <w:semiHidden/>
    <w:rsid w:val="00225704"/>
    <w:rPr>
      <w:rFonts w:ascii="Arial Narrow" w:eastAsia="Times New Roman" w:hAnsi="Arial Narrow"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225704"/>
    <w:rPr>
      <w:b/>
      <w:bCs/>
    </w:rPr>
  </w:style>
  <w:style w:type="character" w:customStyle="1" w:styleId="resolministerial">
    <w:name w:val="resolministerial"/>
    <w:basedOn w:val="Fuentedeprrafopredeter"/>
    <w:rsid w:val="00225704"/>
    <w:rPr>
      <w:rFonts w:ascii="Arial" w:hAnsi="Arial" w:cs="Arial" w:hint="default"/>
      <w:b/>
      <w:bCs/>
      <w:i w:val="0"/>
      <w:iCs w:val="0"/>
      <w:color w:val="0000FF"/>
      <w:sz w:val="20"/>
      <w:szCs w:val="20"/>
    </w:rPr>
  </w:style>
  <w:style w:type="paragraph" w:styleId="Prrafodelista">
    <w:name w:val="List Paragraph"/>
    <w:basedOn w:val="Normal"/>
    <w:uiPriority w:val="34"/>
    <w:qFormat/>
    <w:rsid w:val="00225704"/>
    <w:pPr>
      <w:ind w:left="708"/>
    </w:pPr>
  </w:style>
  <w:style w:type="paragraph" w:styleId="Sinespaciado">
    <w:name w:val="No Spacing"/>
    <w:uiPriority w:val="1"/>
    <w:qFormat/>
    <w:rsid w:val="00225704"/>
    <w:pPr>
      <w:tabs>
        <w:tab w:val="left" w:pos="1531"/>
      </w:tabs>
      <w:spacing w:after="0" w:line="240" w:lineRule="auto"/>
      <w:jc w:val="both"/>
    </w:pPr>
    <w:rPr>
      <w:rFonts w:ascii="Arial Narrow" w:eastAsia="Times New Roman" w:hAnsi="Arial Narrow" w:cs="Times New Roman"/>
      <w:szCs w:val="20"/>
      <w:lang w:val="es-ES" w:eastAsia="es-ES"/>
    </w:rPr>
  </w:style>
  <w:style w:type="paragraph" w:styleId="NormalWeb">
    <w:name w:val="Normal (Web)"/>
    <w:basedOn w:val="Normal"/>
    <w:uiPriority w:val="99"/>
    <w:unhideWhenUsed/>
    <w:rsid w:val="00225704"/>
    <w:pPr>
      <w:tabs>
        <w:tab w:val="clear" w:pos="1531"/>
      </w:tabs>
      <w:spacing w:before="100" w:beforeAutospacing="1" w:afterAutospacing="1"/>
      <w:jc w:val="left"/>
    </w:pPr>
    <w:rPr>
      <w:rFonts w:ascii="Times New Roman" w:hAnsi="Times New Roman"/>
      <w:sz w:val="24"/>
      <w:szCs w:val="24"/>
    </w:rPr>
  </w:style>
  <w:style w:type="character" w:styleId="Hipervnculo">
    <w:name w:val="Hyperlink"/>
    <w:basedOn w:val="Fuentedeprrafopredeter"/>
    <w:uiPriority w:val="99"/>
    <w:unhideWhenUsed/>
    <w:rsid w:val="00111C80"/>
    <w:rPr>
      <w:color w:val="0000FF"/>
      <w:u w:val="single"/>
    </w:rPr>
  </w:style>
  <w:style w:type="paragraph" w:styleId="TtulodeTDC">
    <w:name w:val="TOC Heading"/>
    <w:basedOn w:val="Ttulo1"/>
    <w:next w:val="Normal"/>
    <w:uiPriority w:val="39"/>
    <w:semiHidden/>
    <w:unhideWhenUsed/>
    <w:qFormat/>
    <w:rsid w:val="00DE424C"/>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1">
    <w:name w:val="toc 1"/>
    <w:basedOn w:val="Normal"/>
    <w:next w:val="Normal"/>
    <w:autoRedefine/>
    <w:uiPriority w:val="39"/>
    <w:unhideWhenUsed/>
    <w:qFormat/>
    <w:rsid w:val="00DE424C"/>
    <w:pPr>
      <w:tabs>
        <w:tab w:val="clear" w:pos="1531"/>
      </w:tabs>
    </w:pPr>
  </w:style>
  <w:style w:type="paragraph" w:styleId="TDC2">
    <w:name w:val="toc 2"/>
    <w:basedOn w:val="Normal"/>
    <w:next w:val="Normal"/>
    <w:autoRedefine/>
    <w:uiPriority w:val="39"/>
    <w:unhideWhenUsed/>
    <w:qFormat/>
    <w:rsid w:val="004861DF"/>
    <w:pPr>
      <w:tabs>
        <w:tab w:val="clear" w:pos="1531"/>
        <w:tab w:val="right" w:pos="8495"/>
      </w:tabs>
    </w:pPr>
  </w:style>
  <w:style w:type="character" w:styleId="Refdecomentario">
    <w:name w:val="annotation reference"/>
    <w:basedOn w:val="Fuentedeprrafopredeter"/>
    <w:semiHidden/>
    <w:unhideWhenUsed/>
    <w:rsid w:val="00A81D0E"/>
    <w:rPr>
      <w:sz w:val="16"/>
      <w:szCs w:val="16"/>
    </w:rPr>
  </w:style>
  <w:style w:type="character" w:customStyle="1" w:styleId="modartculofecha">
    <w:name w:val="modartculofecha"/>
    <w:basedOn w:val="Fuentedeprrafopredeter"/>
    <w:rsid w:val="00310870"/>
  </w:style>
  <w:style w:type="paragraph" w:styleId="TDC3">
    <w:name w:val="toc 3"/>
    <w:basedOn w:val="Normal"/>
    <w:next w:val="Normal"/>
    <w:autoRedefine/>
    <w:uiPriority w:val="39"/>
    <w:semiHidden/>
    <w:unhideWhenUsed/>
    <w:qFormat/>
    <w:rsid w:val="00602D45"/>
    <w:pPr>
      <w:tabs>
        <w:tab w:val="clear" w:pos="1531"/>
      </w:tabs>
      <w:spacing w:line="276" w:lineRule="auto"/>
      <w:ind w:left="440"/>
      <w:jc w:val="left"/>
    </w:pPr>
    <w:rPr>
      <w:rFonts w:asciiTheme="minorHAnsi" w:eastAsiaTheme="minorEastAsia" w:hAnsiTheme="minorHAnsi" w:cstheme="minorBidi"/>
      <w:szCs w:val="22"/>
      <w:lang w:eastAsia="en-US"/>
    </w:rPr>
  </w:style>
  <w:style w:type="character" w:styleId="Refdenotaalpie">
    <w:name w:val="footnote reference"/>
    <w:basedOn w:val="Fuentedeprrafopredeter"/>
    <w:uiPriority w:val="99"/>
    <w:semiHidden/>
    <w:unhideWhenUsed/>
    <w:rsid w:val="00D63F90"/>
    <w:rPr>
      <w:vertAlign w:val="superscript"/>
    </w:rPr>
  </w:style>
  <w:style w:type="paragraph" w:customStyle="1" w:styleId="Default">
    <w:name w:val="Default"/>
    <w:basedOn w:val="Normal"/>
    <w:rsid w:val="00B24B0B"/>
    <w:pPr>
      <w:tabs>
        <w:tab w:val="clear" w:pos="1531"/>
      </w:tabs>
      <w:autoSpaceDE w:val="0"/>
      <w:autoSpaceDN w:val="0"/>
      <w:spacing w:after="0"/>
      <w:jc w:val="left"/>
    </w:pPr>
    <w:rPr>
      <w:rFonts w:ascii="Times New Roman" w:eastAsia="Calibri" w:hAnsi="Times New Roman"/>
      <w:color w:val="000000"/>
      <w:sz w:val="24"/>
      <w:szCs w:val="24"/>
    </w:rPr>
  </w:style>
  <w:style w:type="table" w:customStyle="1" w:styleId="Sombreadomedio2-nfasis11">
    <w:name w:val="Sombreado medio 2 - Énfasis 11"/>
    <w:basedOn w:val="Tablanormal"/>
    <w:uiPriority w:val="64"/>
    <w:rsid w:val="00A563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54301221">
      <w:bodyDiv w:val="1"/>
      <w:marLeft w:val="0"/>
      <w:marRight w:val="0"/>
      <w:marTop w:val="0"/>
      <w:marBottom w:val="0"/>
      <w:divBdr>
        <w:top w:val="none" w:sz="0" w:space="0" w:color="auto"/>
        <w:left w:val="none" w:sz="0" w:space="0" w:color="auto"/>
        <w:bottom w:val="none" w:sz="0" w:space="0" w:color="auto"/>
        <w:right w:val="none" w:sz="0" w:space="0" w:color="auto"/>
      </w:divBdr>
    </w:div>
    <w:div w:id="783234693">
      <w:bodyDiv w:val="1"/>
      <w:marLeft w:val="0"/>
      <w:marRight w:val="0"/>
      <w:marTop w:val="0"/>
      <w:marBottom w:val="0"/>
      <w:divBdr>
        <w:top w:val="none" w:sz="0" w:space="0" w:color="auto"/>
        <w:left w:val="none" w:sz="0" w:space="0" w:color="auto"/>
        <w:bottom w:val="none" w:sz="0" w:space="0" w:color="auto"/>
        <w:right w:val="none" w:sz="0" w:space="0" w:color="auto"/>
      </w:divBdr>
    </w:div>
    <w:div w:id="985552683">
      <w:bodyDiv w:val="1"/>
      <w:marLeft w:val="0"/>
      <w:marRight w:val="0"/>
      <w:marTop w:val="0"/>
      <w:marBottom w:val="0"/>
      <w:divBdr>
        <w:top w:val="none" w:sz="0" w:space="0" w:color="auto"/>
        <w:left w:val="none" w:sz="0" w:space="0" w:color="auto"/>
        <w:bottom w:val="none" w:sz="0" w:space="0" w:color="auto"/>
        <w:right w:val="none" w:sz="0" w:space="0" w:color="auto"/>
      </w:divBdr>
    </w:div>
    <w:div w:id="1577397159">
      <w:bodyDiv w:val="1"/>
      <w:marLeft w:val="0"/>
      <w:marRight w:val="0"/>
      <w:marTop w:val="0"/>
      <w:marBottom w:val="0"/>
      <w:divBdr>
        <w:top w:val="none" w:sz="0" w:space="0" w:color="auto"/>
        <w:left w:val="none" w:sz="0" w:space="0" w:color="auto"/>
        <w:bottom w:val="none" w:sz="0" w:space="0" w:color="auto"/>
        <w:right w:val="none" w:sz="0" w:space="0" w:color="auto"/>
      </w:divBdr>
    </w:div>
    <w:div w:id="1679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pre/index.aspx" TargetMode="External"/><Relationship Id="rId13" Type="http://schemas.openxmlformats.org/officeDocument/2006/relationships/hyperlink" Target="http://spij.minjus.gob.pe/CLP/contenidos.dll?f=id$id=peru%3Ar%3A21248b0$cid=peru$t=document-frame.htm$an=JD_L29782-A2$3.0" TargetMode="External"/><Relationship Id="rId18" Type="http://schemas.openxmlformats.org/officeDocument/2006/relationships/hyperlink" Target="http://spij.minjus.gob.pe/CLP/contenidos.dll?f=id$id=peru%3Ar%3A21248b0$cid=peru$t=document-frame.htm$an=JD_L29782-A2$3.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ij.minjus.gob.pe/CLP/contenidos.dll?f=id$id=peru%3Ar%3A21248b0$cid=peru$t=document-frame.htm$an=JD_L29782-A2$3.0" TargetMode="External"/><Relationship Id="rId12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ij.minjus.gob.pe/CLP/contenidos.dll?f=id$id=peru%3Ar%3A21248b0$cid=peru$t=document-frame.htm$an=JD_L29782-A2$3.0" TargetMode="External"/><Relationship Id="rId17" Type="http://schemas.openxmlformats.org/officeDocument/2006/relationships/hyperlink" Target="http://spij.minjus.gob.pe/CLP/contenidos.dll?f=id$id=peru%3Ar%3A21248b0$cid=peru$t=document-frame.htm$an=JD_L29782-A2$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ij.minjus.gob.pe/CLP/contenidos.dll?f=id$id=peru%3Ar%3A21248b0$cid=peru$t=document-frame.htm$an=JD_L29782-4DCM$3.0" TargetMode="External"/><Relationship Id="rId20" Type="http://schemas.openxmlformats.org/officeDocument/2006/relationships/hyperlink" Target="http://spij.minjus.gob.pe/CLP/contenidos.dll?f=id$id=peru%3Ar%3A1d0f43$cid=peru$t=document-frame.htm$an=JD_L27323-A1$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j.minjus.gob.pe/CLP/contenidos.dll?f=id$id=peru%3Ar%3A21248b0$cid=peru$t=document-frame.htm$an=JD_L29782-A2$3.0" TargetMode="External"/><Relationship Id="rId24" Type="http://schemas.openxmlformats.org/officeDocument/2006/relationships/hyperlink" Target="http://spij.minjus.gob.pe/CLP/contenidos.dll?f=id$id=peru%3Ar%3A22cbad0$cid=peru$t=document-frame.htm$an=JD_L30050-a5$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j.minjus.gob.pe/CLP/contenidos.dll?f=id$id=peru%3Ar%3A21248b0$cid=peru$t=document-frame.htm$an=JD_L29782-A2$3.0" TargetMode="External"/><Relationship Id="rId23" Type="http://schemas.openxmlformats.org/officeDocument/2006/relationships/hyperlink" Target="http://spij.minjus.gob.pe/CLP/contenidos.dll?f=id$id=peru%3Ar%3A21248b0$cid=peru$t=document-frame.htm$an=JD_L29782-A2$3.0" TargetMode="External"/><Relationship Id="rId28" Type="http://schemas.openxmlformats.org/officeDocument/2006/relationships/footer" Target="footer2.xml"/><Relationship Id="rId10" Type="http://schemas.openxmlformats.org/officeDocument/2006/relationships/hyperlink" Target="http://spij.minjus.gob.pe/CLP/contenidos.dll?f=id$id=peru%3Ar%3A21248b0$cid=peru$t=document-frame.htm$an=JD_L29782-A2$3.0" TargetMode="External"/><Relationship Id="rId19" Type="http://schemas.openxmlformats.org/officeDocument/2006/relationships/hyperlink" Target="http://spij.minjus.gob.pe/CLP/contenidos.dll?f=id$id=peru%3Ar%3A21248b0$cid=peru$t=document-frame.htm$an=JD_L29782-A2$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ij.minjus.gob.pe/CLP/contenidos.dll?f=id$id=peru%3Ar%3A21248b0$cid=peru$t=document-frame.htm$an=JD_L29782-A2$3.0" TargetMode="External"/><Relationship Id="rId22" Type="http://schemas.openxmlformats.org/officeDocument/2006/relationships/hyperlink" Target="http://spij.minjus.gob.pe/CLP/contenidos.dll?f=id$id=peru%3Ar%3A22cbad0$cid=peru$t=document-frame.htm$an=JD_L30050-a4$3.0"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E7AC5-E307-44A5-AFBF-31690974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6348</Words>
  <Characters>34915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Garcia</dc:creator>
  <cp:lastModifiedBy>MILTON MALCA</cp:lastModifiedBy>
  <cp:revision>5</cp:revision>
  <cp:lastPrinted>2016-01-14T22:31:00Z</cp:lastPrinted>
  <dcterms:created xsi:type="dcterms:W3CDTF">2016-01-25T18:38:00Z</dcterms:created>
  <dcterms:modified xsi:type="dcterms:W3CDTF">2016-02-08T18:00:00Z</dcterms:modified>
</cp:coreProperties>
</file>