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FB" w:rsidRDefault="00D813FB" w:rsidP="00D813FB">
      <w:pPr>
        <w:jc w:val="center"/>
        <w:rPr>
          <w:rFonts w:cs="Arial"/>
          <w:b/>
          <w:sz w:val="28"/>
          <w:szCs w:val="22"/>
        </w:rPr>
      </w:pPr>
    </w:p>
    <w:p w:rsidR="00D813FB" w:rsidRDefault="00D813FB" w:rsidP="00D813FB">
      <w:pPr>
        <w:jc w:val="center"/>
        <w:rPr>
          <w:rFonts w:cs="Arial"/>
          <w:b/>
          <w:sz w:val="28"/>
          <w:szCs w:val="22"/>
        </w:rPr>
      </w:pPr>
    </w:p>
    <w:p w:rsidR="00D813FB" w:rsidRDefault="00D813FB" w:rsidP="00D813FB">
      <w:pPr>
        <w:jc w:val="center"/>
        <w:rPr>
          <w:rFonts w:cs="Arial"/>
          <w:b/>
          <w:sz w:val="28"/>
          <w:szCs w:val="22"/>
        </w:rPr>
      </w:pPr>
    </w:p>
    <w:p w:rsidR="00D813FB" w:rsidRDefault="00D813FB" w:rsidP="00D813FB">
      <w:pPr>
        <w:jc w:val="center"/>
        <w:rPr>
          <w:rFonts w:cs="Arial"/>
          <w:b/>
          <w:sz w:val="28"/>
          <w:szCs w:val="22"/>
        </w:rPr>
      </w:pPr>
    </w:p>
    <w:p w:rsidR="00D813FB" w:rsidRDefault="00D813FB" w:rsidP="00D813FB">
      <w:pPr>
        <w:jc w:val="center"/>
        <w:rPr>
          <w:rFonts w:cs="Arial"/>
          <w:b/>
          <w:sz w:val="28"/>
          <w:szCs w:val="22"/>
        </w:rPr>
      </w:pPr>
    </w:p>
    <w:tbl>
      <w:tblPr>
        <w:tblStyle w:val="Sombreadomedio2-nfasis11"/>
        <w:tblW w:w="0" w:type="auto"/>
        <w:tblBorders>
          <w:top w:val="none" w:sz="0" w:space="0" w:color="auto"/>
          <w:bottom w:val="none" w:sz="0" w:space="0" w:color="auto"/>
        </w:tblBorders>
        <w:tblLook w:val="04A0"/>
      </w:tblPr>
      <w:tblGrid>
        <w:gridCol w:w="4485"/>
        <w:gridCol w:w="4236"/>
      </w:tblGrid>
      <w:tr w:rsidR="00D813FB" w:rsidTr="003F68AC">
        <w:trPr>
          <w:cnfStyle w:val="100000000000"/>
        </w:trPr>
        <w:tc>
          <w:tcPr>
            <w:cnfStyle w:val="001000000100"/>
            <w:tcW w:w="4489" w:type="dxa"/>
            <w:tcBorders>
              <w:top w:val="none" w:sz="0" w:space="0" w:color="auto"/>
              <w:left w:val="none" w:sz="0" w:space="0" w:color="auto"/>
              <w:bottom w:val="none" w:sz="0" w:space="0" w:color="auto"/>
              <w:right w:val="none" w:sz="0" w:space="0" w:color="auto"/>
            </w:tcBorders>
          </w:tcPr>
          <w:p w:rsidR="00D813FB" w:rsidRDefault="00D813FB" w:rsidP="003F68AC">
            <w:pPr>
              <w:jc w:val="center"/>
              <w:rPr>
                <w:rFonts w:cs="Arial"/>
                <w:b w:val="0"/>
                <w:sz w:val="28"/>
                <w:szCs w:val="22"/>
              </w:rPr>
            </w:pPr>
          </w:p>
          <w:p w:rsidR="00D813FB" w:rsidRDefault="00D813FB" w:rsidP="003F68AC">
            <w:pPr>
              <w:jc w:val="center"/>
              <w:rPr>
                <w:rFonts w:cs="Arial"/>
                <w:b w:val="0"/>
                <w:sz w:val="28"/>
                <w:szCs w:val="22"/>
              </w:rPr>
            </w:pPr>
          </w:p>
          <w:p w:rsidR="00D813FB" w:rsidRDefault="00D813FB" w:rsidP="003F68AC">
            <w:pPr>
              <w:jc w:val="center"/>
              <w:rPr>
                <w:rFonts w:cs="Arial"/>
                <w:b w:val="0"/>
                <w:sz w:val="28"/>
                <w:szCs w:val="22"/>
              </w:rPr>
            </w:pPr>
            <w:r>
              <w:rPr>
                <w:rFonts w:ascii="Arial" w:hAnsi="Arial" w:cs="Arial"/>
                <w:noProof/>
                <w:color w:val="264974"/>
                <w:sz w:val="17"/>
                <w:szCs w:val="17"/>
                <w:bdr w:val="none" w:sz="0" w:space="0" w:color="auto" w:frame="1"/>
                <w:lang w:val="es-PE" w:eastAsia="es-PE"/>
              </w:rPr>
              <w:drawing>
                <wp:inline distT="0" distB="0" distL="0" distR="0">
                  <wp:extent cx="2679700" cy="1010285"/>
                  <wp:effectExtent l="19050" t="0" r="6350" b="0"/>
                  <wp:docPr id="2" name="Imagen 1" descr="Logo SMV">
                    <a:hlinkClick xmlns:a="http://schemas.openxmlformats.org/drawingml/2006/main" r:id="rId8"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V">
                            <a:hlinkClick r:id="rId8" tgtFrame="_self"/>
                          </pic:cNvPr>
                          <pic:cNvPicPr>
                            <a:picLocks noChangeAspect="1" noChangeArrowheads="1"/>
                          </pic:cNvPicPr>
                        </pic:nvPicPr>
                        <pic:blipFill>
                          <a:blip r:embed="rId9" cstate="print"/>
                          <a:srcRect/>
                          <a:stretch>
                            <a:fillRect/>
                          </a:stretch>
                        </pic:blipFill>
                        <pic:spPr bwMode="auto">
                          <a:xfrm>
                            <a:off x="0" y="0"/>
                            <a:ext cx="2679700" cy="1010285"/>
                          </a:xfrm>
                          <a:prstGeom prst="rect">
                            <a:avLst/>
                          </a:prstGeom>
                          <a:noFill/>
                          <a:ln w="9525">
                            <a:noFill/>
                            <a:miter lim="800000"/>
                            <a:headEnd/>
                            <a:tailEnd/>
                          </a:ln>
                        </pic:spPr>
                      </pic:pic>
                    </a:graphicData>
                  </a:graphic>
                </wp:inline>
              </w:drawing>
            </w:r>
          </w:p>
        </w:tc>
        <w:tc>
          <w:tcPr>
            <w:tcW w:w="4489" w:type="dxa"/>
            <w:tcBorders>
              <w:top w:val="none" w:sz="0" w:space="0" w:color="auto"/>
              <w:left w:val="none" w:sz="0" w:space="0" w:color="auto"/>
              <w:bottom w:val="none" w:sz="0" w:space="0" w:color="auto"/>
              <w:right w:val="none" w:sz="0" w:space="0" w:color="auto"/>
            </w:tcBorders>
          </w:tcPr>
          <w:p w:rsidR="00D813FB" w:rsidRDefault="00D813FB" w:rsidP="003F68AC">
            <w:pPr>
              <w:jc w:val="center"/>
              <w:cnfStyle w:val="100000000000"/>
              <w:rPr>
                <w:rFonts w:cs="Arial"/>
                <w:b w:val="0"/>
                <w:sz w:val="28"/>
                <w:szCs w:val="22"/>
              </w:rPr>
            </w:pPr>
          </w:p>
          <w:p w:rsidR="00D813FB" w:rsidRDefault="00D813FB" w:rsidP="003F68AC">
            <w:pPr>
              <w:jc w:val="center"/>
              <w:cnfStyle w:val="100000000000"/>
              <w:rPr>
                <w:rFonts w:cs="Arial"/>
                <w:b w:val="0"/>
                <w:sz w:val="28"/>
                <w:szCs w:val="22"/>
              </w:rPr>
            </w:pPr>
          </w:p>
          <w:p w:rsidR="00D813FB" w:rsidRDefault="00D813FB" w:rsidP="003F68AC">
            <w:pPr>
              <w:jc w:val="center"/>
              <w:cnfStyle w:val="100000000000"/>
              <w:rPr>
                <w:rFonts w:cs="Arial"/>
                <w:b w:val="0"/>
                <w:sz w:val="28"/>
                <w:szCs w:val="22"/>
              </w:rPr>
            </w:pPr>
          </w:p>
          <w:p w:rsidR="00D813FB" w:rsidRDefault="00D813FB" w:rsidP="003F68AC">
            <w:pPr>
              <w:jc w:val="center"/>
              <w:cnfStyle w:val="100000000000"/>
              <w:rPr>
                <w:rFonts w:cs="Arial"/>
                <w:b w:val="0"/>
                <w:sz w:val="28"/>
                <w:szCs w:val="22"/>
              </w:rPr>
            </w:pPr>
          </w:p>
          <w:p w:rsidR="00D813FB" w:rsidRDefault="00D813FB" w:rsidP="003F68AC">
            <w:pPr>
              <w:jc w:val="center"/>
              <w:cnfStyle w:val="100000000000"/>
              <w:rPr>
                <w:rFonts w:cs="Arial"/>
                <w:b w:val="0"/>
                <w:sz w:val="28"/>
                <w:szCs w:val="22"/>
              </w:rPr>
            </w:pPr>
          </w:p>
          <w:p w:rsidR="00D813FB" w:rsidRDefault="00D813FB" w:rsidP="003F68AC">
            <w:pPr>
              <w:jc w:val="center"/>
              <w:cnfStyle w:val="100000000000"/>
              <w:rPr>
                <w:rFonts w:cs="Arial"/>
                <w:b w:val="0"/>
                <w:sz w:val="28"/>
                <w:szCs w:val="22"/>
              </w:rPr>
            </w:pPr>
          </w:p>
          <w:p w:rsidR="00D813FB" w:rsidRDefault="00D813FB" w:rsidP="003F68AC">
            <w:pPr>
              <w:jc w:val="center"/>
              <w:cnfStyle w:val="100000000000"/>
              <w:rPr>
                <w:rFonts w:cs="Arial"/>
                <w:b w:val="0"/>
                <w:sz w:val="28"/>
                <w:szCs w:val="22"/>
              </w:rPr>
            </w:pPr>
          </w:p>
          <w:p w:rsidR="00D813FB" w:rsidRDefault="00D813FB" w:rsidP="003F68AC">
            <w:pPr>
              <w:jc w:val="center"/>
              <w:cnfStyle w:val="100000000000"/>
              <w:rPr>
                <w:rFonts w:cs="Arial"/>
                <w:b w:val="0"/>
                <w:sz w:val="28"/>
                <w:szCs w:val="22"/>
              </w:rPr>
            </w:pPr>
          </w:p>
        </w:tc>
      </w:tr>
      <w:tr w:rsidR="00D813FB" w:rsidTr="003F68AC">
        <w:trPr>
          <w:cnfStyle w:val="000000100000"/>
        </w:trPr>
        <w:tc>
          <w:tcPr>
            <w:cnfStyle w:val="001000000000"/>
            <w:tcW w:w="4489" w:type="dxa"/>
            <w:tcBorders>
              <w:left w:val="none" w:sz="0" w:space="0" w:color="auto"/>
              <w:bottom w:val="none" w:sz="0" w:space="0" w:color="auto"/>
              <w:right w:val="none" w:sz="0" w:space="0" w:color="auto"/>
            </w:tcBorders>
          </w:tcPr>
          <w:p w:rsidR="00D813FB" w:rsidRDefault="00D813FB" w:rsidP="003F68AC">
            <w:pPr>
              <w:jc w:val="center"/>
              <w:rPr>
                <w:rFonts w:cs="Arial"/>
                <w:b w:val="0"/>
                <w:sz w:val="28"/>
                <w:szCs w:val="22"/>
              </w:rPr>
            </w:pPr>
          </w:p>
        </w:tc>
        <w:tc>
          <w:tcPr>
            <w:tcW w:w="4489" w:type="dxa"/>
          </w:tcPr>
          <w:p w:rsidR="00D813FB" w:rsidRDefault="00D813FB" w:rsidP="003F68AC">
            <w:pPr>
              <w:jc w:val="center"/>
              <w:cnfStyle w:val="000000100000"/>
              <w:rPr>
                <w:rFonts w:cs="Arial"/>
                <w:b/>
                <w:sz w:val="28"/>
                <w:szCs w:val="22"/>
              </w:rPr>
            </w:pPr>
          </w:p>
          <w:p w:rsidR="00D813FB" w:rsidRDefault="00D813FB" w:rsidP="003F68AC">
            <w:pPr>
              <w:pStyle w:val="Subttulo1"/>
              <w:tabs>
                <w:tab w:val="left" w:pos="4016"/>
              </w:tabs>
              <w:spacing w:line="360" w:lineRule="auto"/>
              <w:ind w:left="380" w:right="261" w:hanging="154"/>
              <w:cnfStyle w:val="000000100000"/>
              <w:rPr>
                <w:rFonts w:ascii="Arial Narrow" w:hAnsi="Arial Narrow" w:cs="Arial"/>
                <w:color w:val="auto"/>
                <w:sz w:val="52"/>
                <w:szCs w:val="22"/>
              </w:rPr>
            </w:pPr>
            <w:r w:rsidRPr="008A67AD">
              <w:rPr>
                <w:rFonts w:ascii="Arial Narrow" w:hAnsi="Arial Narrow" w:cs="Arial"/>
                <w:color w:val="auto"/>
                <w:sz w:val="52"/>
                <w:szCs w:val="22"/>
              </w:rPr>
              <w:t>FINAL DISPOSITIONS</w:t>
            </w:r>
          </w:p>
          <w:p w:rsidR="00D813FB" w:rsidRPr="00417B5F" w:rsidRDefault="00D813FB" w:rsidP="003F68AC">
            <w:pPr>
              <w:jc w:val="center"/>
              <w:cnfStyle w:val="000000100000"/>
              <w:rPr>
                <w:b/>
                <w:sz w:val="56"/>
              </w:rPr>
            </w:pPr>
            <w:r>
              <w:rPr>
                <w:rFonts w:cs="Arial"/>
                <w:b/>
                <w:sz w:val="96"/>
                <w:szCs w:val="22"/>
              </w:rPr>
              <w:t>SMV</w:t>
            </w:r>
          </w:p>
          <w:p w:rsidR="00D813FB" w:rsidRDefault="00D813FB" w:rsidP="003F68AC">
            <w:pPr>
              <w:jc w:val="center"/>
              <w:cnfStyle w:val="000000100000"/>
              <w:rPr>
                <w:rFonts w:cs="Arial"/>
                <w:b/>
                <w:sz w:val="28"/>
                <w:szCs w:val="22"/>
              </w:rPr>
            </w:pPr>
          </w:p>
        </w:tc>
      </w:tr>
      <w:tr w:rsidR="00D813FB" w:rsidTr="003F68AC">
        <w:tc>
          <w:tcPr>
            <w:cnfStyle w:val="001000000000"/>
            <w:tcW w:w="4489" w:type="dxa"/>
            <w:tcBorders>
              <w:left w:val="none" w:sz="0" w:space="0" w:color="auto"/>
              <w:bottom w:val="none" w:sz="0" w:space="0" w:color="auto"/>
              <w:right w:val="none" w:sz="0" w:space="0" w:color="auto"/>
            </w:tcBorders>
          </w:tcPr>
          <w:p w:rsidR="00D813FB" w:rsidRDefault="00D813FB" w:rsidP="003F68AC">
            <w:pPr>
              <w:jc w:val="center"/>
              <w:rPr>
                <w:rFonts w:cs="Arial"/>
                <w:b w:val="0"/>
                <w:sz w:val="28"/>
                <w:szCs w:val="22"/>
              </w:rPr>
            </w:pPr>
          </w:p>
        </w:tc>
        <w:tc>
          <w:tcPr>
            <w:tcW w:w="4489" w:type="dxa"/>
          </w:tcPr>
          <w:p w:rsidR="00D813FB" w:rsidRDefault="00D813FB" w:rsidP="003F68AC">
            <w:pPr>
              <w:jc w:val="center"/>
              <w:cnfStyle w:val="000000000000"/>
              <w:rPr>
                <w:rFonts w:cs="Arial"/>
                <w:b/>
                <w:sz w:val="28"/>
                <w:szCs w:val="22"/>
              </w:rPr>
            </w:pPr>
          </w:p>
        </w:tc>
      </w:tr>
    </w:tbl>
    <w:p w:rsidR="00D813FB" w:rsidRDefault="00D813FB" w:rsidP="00D813FB">
      <w:pPr>
        <w:jc w:val="center"/>
        <w:rPr>
          <w:rFonts w:cs="Arial"/>
          <w:b/>
          <w:sz w:val="28"/>
          <w:szCs w:val="22"/>
        </w:rPr>
      </w:pPr>
    </w:p>
    <w:p w:rsidR="00D813FB" w:rsidRDefault="00D813FB" w:rsidP="00D813FB">
      <w:pPr>
        <w:jc w:val="center"/>
        <w:rPr>
          <w:rFonts w:cs="Arial"/>
          <w:b/>
          <w:sz w:val="28"/>
          <w:szCs w:val="22"/>
        </w:rPr>
      </w:pPr>
    </w:p>
    <w:p w:rsidR="00D813FB" w:rsidRDefault="00D813FB" w:rsidP="00D813FB"/>
    <w:p w:rsidR="00D813FB" w:rsidRDefault="00D813FB" w:rsidP="00D813FB">
      <w:pPr>
        <w:tabs>
          <w:tab w:val="clear" w:pos="1531"/>
        </w:tabs>
        <w:spacing w:after="200" w:line="276" w:lineRule="auto"/>
        <w:jc w:val="left"/>
        <w:rPr>
          <w:rFonts w:cs="Arial"/>
          <w:b/>
          <w:snapToGrid w:val="0"/>
          <w:spacing w:val="15"/>
          <w:szCs w:val="22"/>
          <w:lang w:val="en-US"/>
        </w:rPr>
      </w:pPr>
      <w:r>
        <w:rPr>
          <w:rFonts w:cs="Arial"/>
          <w:b/>
          <w:szCs w:val="22"/>
          <w:lang w:val="en-US"/>
        </w:rPr>
        <w:br w:type="page"/>
      </w:r>
    </w:p>
    <w:p w:rsidR="00235275" w:rsidRDefault="00341CD8" w:rsidP="00341CD8">
      <w:pPr>
        <w:pStyle w:val="INDICTAB1"/>
        <w:jc w:val="center"/>
        <w:rPr>
          <w:rFonts w:cs="Arial"/>
          <w:b/>
          <w:sz w:val="22"/>
          <w:szCs w:val="22"/>
          <w:lang w:val="en-US"/>
        </w:rPr>
      </w:pPr>
      <w:r w:rsidRPr="00743372">
        <w:rPr>
          <w:rFonts w:cs="Arial"/>
          <w:b/>
          <w:sz w:val="22"/>
          <w:szCs w:val="22"/>
          <w:lang w:val="en-US"/>
        </w:rPr>
        <w:lastRenderedPageBreak/>
        <w:t>FINAL DISPOSITIONS</w:t>
      </w:r>
    </w:p>
    <w:p w:rsidR="00235275" w:rsidRPr="00740583" w:rsidRDefault="008648DB">
      <w:pPr>
        <w:pStyle w:val="TDC1"/>
        <w:rPr>
          <w:rFonts w:asciiTheme="minorHAnsi" w:eastAsiaTheme="minorEastAsia" w:hAnsiTheme="minorHAnsi" w:cstheme="minorBidi"/>
          <w:b/>
          <w:bCs w:val="0"/>
          <w:kern w:val="0"/>
          <w:szCs w:val="22"/>
          <w:lang w:val="es-PE" w:eastAsia="es-PE"/>
        </w:rPr>
      </w:pPr>
      <w:r w:rsidRPr="008648DB">
        <w:rPr>
          <w:b/>
          <w:szCs w:val="22"/>
        </w:rPr>
        <w:fldChar w:fldCharType="begin"/>
      </w:r>
      <w:r w:rsidR="00235275">
        <w:rPr>
          <w:b/>
          <w:szCs w:val="22"/>
        </w:rPr>
        <w:instrText xml:space="preserve"> TOC \o "1-3" \h \z \u </w:instrText>
      </w:r>
      <w:r w:rsidRPr="008648DB">
        <w:rPr>
          <w:b/>
          <w:szCs w:val="22"/>
        </w:rPr>
        <w:fldChar w:fldCharType="separate"/>
      </w:r>
      <w:hyperlink w:anchor="_Toc440563694" w:history="1">
        <w:r w:rsidR="00235275" w:rsidRPr="00740583">
          <w:rPr>
            <w:rStyle w:val="Hipervnculo"/>
            <w:b/>
          </w:rPr>
          <w:t>ANNEX I</w:t>
        </w:r>
        <w:r w:rsidR="00B02058">
          <w:rPr>
            <w:rStyle w:val="Hipervnculo"/>
            <w:b/>
          </w:rPr>
          <w:t xml:space="preserve"> </w:t>
        </w:r>
      </w:hyperlink>
    </w:p>
    <w:p w:rsidR="00235275" w:rsidRDefault="008648DB">
      <w:pPr>
        <w:pStyle w:val="TDC1"/>
        <w:rPr>
          <w:rFonts w:asciiTheme="minorHAnsi" w:eastAsiaTheme="minorEastAsia" w:hAnsiTheme="minorHAnsi" w:cstheme="minorBidi"/>
          <w:bCs w:val="0"/>
          <w:kern w:val="0"/>
          <w:szCs w:val="22"/>
          <w:lang w:val="es-PE" w:eastAsia="es-PE"/>
        </w:rPr>
      </w:pPr>
      <w:hyperlink w:anchor="_Toc440563695" w:history="1">
        <w:r w:rsidR="00235275" w:rsidRPr="00740583">
          <w:rPr>
            <w:rStyle w:val="Hipervnculo"/>
            <w:b/>
          </w:rPr>
          <w:t>PROVISIONS NOT INCLUDED IN THE SECURITIES EXCHANGE ACT REQUIRING PREROGATIVES OF THE SUPERINTENDENCE OF SECURITIES MARKET</w:t>
        </w:r>
        <w:r w:rsidR="00235275">
          <w:rPr>
            <w:webHidden/>
          </w:rPr>
          <w:tab/>
        </w:r>
        <w:r>
          <w:rPr>
            <w:webHidden/>
          </w:rPr>
          <w:fldChar w:fldCharType="begin"/>
        </w:r>
        <w:r w:rsidR="00235275">
          <w:rPr>
            <w:webHidden/>
          </w:rPr>
          <w:instrText xml:space="preserve"> PAGEREF _Toc440563695 \h </w:instrText>
        </w:r>
        <w:r>
          <w:rPr>
            <w:webHidden/>
          </w:rPr>
        </w:r>
        <w:r>
          <w:rPr>
            <w:webHidden/>
          </w:rPr>
          <w:fldChar w:fldCharType="separate"/>
        </w:r>
        <w:r w:rsidR="00D40584">
          <w:rPr>
            <w:webHidden/>
          </w:rPr>
          <w:t>3</w:t>
        </w:r>
        <w:r>
          <w:rPr>
            <w:webHidden/>
          </w:rPr>
          <w:fldChar w:fldCharType="end"/>
        </w:r>
      </w:hyperlink>
    </w:p>
    <w:p w:rsidR="00235275" w:rsidRDefault="008648DB">
      <w:pPr>
        <w:pStyle w:val="TDC1"/>
        <w:rPr>
          <w:rFonts w:asciiTheme="minorHAnsi" w:eastAsiaTheme="minorEastAsia" w:hAnsiTheme="minorHAnsi" w:cstheme="minorBidi"/>
          <w:bCs w:val="0"/>
          <w:kern w:val="0"/>
          <w:szCs w:val="22"/>
          <w:lang w:val="es-PE" w:eastAsia="es-PE"/>
        </w:rPr>
      </w:pPr>
      <w:hyperlink w:anchor="_Toc440563697" w:history="1">
        <w:r w:rsidR="00235275" w:rsidRPr="00897749">
          <w:rPr>
            <w:rStyle w:val="Hipervnculo"/>
          </w:rPr>
          <w:t>Law No. 27649 published 23.01.2002</w:t>
        </w:r>
        <w:r w:rsidR="00235275">
          <w:rPr>
            <w:webHidden/>
          </w:rPr>
          <w:tab/>
        </w:r>
        <w:r>
          <w:rPr>
            <w:webHidden/>
          </w:rPr>
          <w:fldChar w:fldCharType="begin"/>
        </w:r>
        <w:r w:rsidR="00235275">
          <w:rPr>
            <w:webHidden/>
          </w:rPr>
          <w:instrText xml:space="preserve"> PAGEREF _Toc440563697 \h </w:instrText>
        </w:r>
        <w:r>
          <w:rPr>
            <w:webHidden/>
          </w:rPr>
        </w:r>
        <w:r>
          <w:rPr>
            <w:webHidden/>
          </w:rPr>
          <w:fldChar w:fldCharType="separate"/>
        </w:r>
        <w:r w:rsidR="00D40584">
          <w:rPr>
            <w:webHidden/>
          </w:rPr>
          <w:t>3</w:t>
        </w:r>
        <w:r>
          <w:rPr>
            <w:webHidden/>
          </w:rPr>
          <w:fldChar w:fldCharType="end"/>
        </w:r>
      </w:hyperlink>
    </w:p>
    <w:p w:rsidR="00235275" w:rsidRDefault="008648DB">
      <w:pPr>
        <w:pStyle w:val="TDC1"/>
        <w:rPr>
          <w:rFonts w:asciiTheme="minorHAnsi" w:eastAsiaTheme="minorEastAsia" w:hAnsiTheme="minorHAnsi" w:cstheme="minorBidi"/>
          <w:bCs w:val="0"/>
          <w:kern w:val="0"/>
          <w:szCs w:val="22"/>
          <w:lang w:val="es-PE" w:eastAsia="es-PE"/>
        </w:rPr>
      </w:pPr>
      <w:hyperlink w:anchor="_Toc440563698" w:history="1">
        <w:r w:rsidR="00235275" w:rsidRPr="00897749">
          <w:rPr>
            <w:rStyle w:val="Hipervnculo"/>
          </w:rPr>
          <w:t>Legislative Decree No. 1061 published 28.06.2008</w:t>
        </w:r>
        <w:r w:rsidR="00235275">
          <w:rPr>
            <w:webHidden/>
          </w:rPr>
          <w:tab/>
        </w:r>
        <w:r>
          <w:rPr>
            <w:webHidden/>
          </w:rPr>
          <w:fldChar w:fldCharType="begin"/>
        </w:r>
        <w:r w:rsidR="00235275">
          <w:rPr>
            <w:webHidden/>
          </w:rPr>
          <w:instrText xml:space="preserve"> PAGEREF _Toc440563698 \h </w:instrText>
        </w:r>
        <w:r>
          <w:rPr>
            <w:webHidden/>
          </w:rPr>
        </w:r>
        <w:r>
          <w:rPr>
            <w:webHidden/>
          </w:rPr>
          <w:fldChar w:fldCharType="separate"/>
        </w:r>
        <w:r w:rsidR="00D40584">
          <w:rPr>
            <w:webHidden/>
          </w:rPr>
          <w:t>3</w:t>
        </w:r>
        <w:r>
          <w:rPr>
            <w:webHidden/>
          </w:rPr>
          <w:fldChar w:fldCharType="end"/>
        </w:r>
      </w:hyperlink>
    </w:p>
    <w:p w:rsidR="00235275" w:rsidRDefault="008648DB">
      <w:pPr>
        <w:pStyle w:val="TDC1"/>
        <w:rPr>
          <w:rFonts w:asciiTheme="minorHAnsi" w:eastAsiaTheme="minorEastAsia" w:hAnsiTheme="minorHAnsi" w:cstheme="minorBidi"/>
          <w:bCs w:val="0"/>
          <w:kern w:val="0"/>
          <w:szCs w:val="22"/>
          <w:lang w:val="es-PE" w:eastAsia="es-PE"/>
        </w:rPr>
      </w:pPr>
      <w:hyperlink w:anchor="_Toc440563699" w:history="1">
        <w:r w:rsidR="00235275" w:rsidRPr="00897749">
          <w:rPr>
            <w:rStyle w:val="Hipervnculo"/>
          </w:rPr>
          <w:t>Law No. 29660 published 04.02.2011</w:t>
        </w:r>
        <w:r w:rsidR="00235275">
          <w:rPr>
            <w:webHidden/>
          </w:rPr>
          <w:tab/>
        </w:r>
        <w:r>
          <w:rPr>
            <w:webHidden/>
          </w:rPr>
          <w:fldChar w:fldCharType="begin"/>
        </w:r>
        <w:r w:rsidR="00235275">
          <w:rPr>
            <w:webHidden/>
          </w:rPr>
          <w:instrText xml:space="preserve"> PAGEREF _Toc440563699 \h </w:instrText>
        </w:r>
        <w:r>
          <w:rPr>
            <w:webHidden/>
          </w:rPr>
        </w:r>
        <w:r>
          <w:rPr>
            <w:webHidden/>
          </w:rPr>
          <w:fldChar w:fldCharType="separate"/>
        </w:r>
        <w:r w:rsidR="00D40584">
          <w:rPr>
            <w:webHidden/>
          </w:rPr>
          <w:t>3</w:t>
        </w:r>
        <w:r>
          <w:rPr>
            <w:webHidden/>
          </w:rPr>
          <w:fldChar w:fldCharType="end"/>
        </w:r>
      </w:hyperlink>
    </w:p>
    <w:p w:rsidR="00235275" w:rsidRDefault="008648DB">
      <w:pPr>
        <w:pStyle w:val="TDC1"/>
        <w:rPr>
          <w:rFonts w:asciiTheme="minorHAnsi" w:eastAsiaTheme="minorEastAsia" w:hAnsiTheme="minorHAnsi" w:cstheme="minorBidi"/>
          <w:bCs w:val="0"/>
          <w:kern w:val="0"/>
          <w:szCs w:val="22"/>
          <w:lang w:val="es-PE" w:eastAsia="es-PE"/>
        </w:rPr>
      </w:pPr>
      <w:hyperlink w:anchor="_Toc440563700" w:history="1">
        <w:r w:rsidR="00235275" w:rsidRPr="00897749">
          <w:rPr>
            <w:rStyle w:val="Hipervnculo"/>
          </w:rPr>
          <w:t>Law No. 29720 published 25.06.2011</w:t>
        </w:r>
        <w:r w:rsidR="00235275">
          <w:rPr>
            <w:webHidden/>
          </w:rPr>
          <w:tab/>
        </w:r>
        <w:r>
          <w:rPr>
            <w:webHidden/>
          </w:rPr>
          <w:fldChar w:fldCharType="begin"/>
        </w:r>
        <w:r w:rsidR="00235275">
          <w:rPr>
            <w:webHidden/>
          </w:rPr>
          <w:instrText xml:space="preserve"> PAGEREF _Toc440563700 \h </w:instrText>
        </w:r>
        <w:r>
          <w:rPr>
            <w:webHidden/>
          </w:rPr>
        </w:r>
        <w:r>
          <w:rPr>
            <w:webHidden/>
          </w:rPr>
          <w:fldChar w:fldCharType="separate"/>
        </w:r>
        <w:r w:rsidR="00D40584">
          <w:rPr>
            <w:webHidden/>
          </w:rPr>
          <w:t>3</w:t>
        </w:r>
        <w:r>
          <w:rPr>
            <w:webHidden/>
          </w:rPr>
          <w:fldChar w:fldCharType="end"/>
        </w:r>
      </w:hyperlink>
    </w:p>
    <w:p w:rsidR="00235275" w:rsidRDefault="008648DB">
      <w:pPr>
        <w:pStyle w:val="TDC1"/>
        <w:rPr>
          <w:rFonts w:asciiTheme="minorHAnsi" w:eastAsiaTheme="minorEastAsia" w:hAnsiTheme="minorHAnsi" w:cstheme="minorBidi"/>
          <w:bCs w:val="0"/>
          <w:kern w:val="0"/>
          <w:szCs w:val="22"/>
          <w:lang w:val="es-PE" w:eastAsia="es-PE"/>
        </w:rPr>
      </w:pPr>
      <w:hyperlink w:anchor="_Toc440563701" w:history="1">
        <w:r w:rsidR="00235275" w:rsidRPr="00897749">
          <w:rPr>
            <w:rStyle w:val="Hipervnculo"/>
          </w:rPr>
          <w:t>Law No. 29782 published 28.07.2011</w:t>
        </w:r>
        <w:r w:rsidR="00235275">
          <w:rPr>
            <w:webHidden/>
          </w:rPr>
          <w:tab/>
        </w:r>
        <w:r>
          <w:rPr>
            <w:webHidden/>
          </w:rPr>
          <w:fldChar w:fldCharType="begin"/>
        </w:r>
        <w:r w:rsidR="00235275">
          <w:rPr>
            <w:webHidden/>
          </w:rPr>
          <w:instrText xml:space="preserve"> PAGEREF _Toc440563701 \h </w:instrText>
        </w:r>
        <w:r>
          <w:rPr>
            <w:webHidden/>
          </w:rPr>
        </w:r>
        <w:r>
          <w:rPr>
            <w:webHidden/>
          </w:rPr>
          <w:fldChar w:fldCharType="separate"/>
        </w:r>
        <w:r w:rsidR="00D40584">
          <w:rPr>
            <w:webHidden/>
          </w:rPr>
          <w:t>3</w:t>
        </w:r>
        <w:r>
          <w:rPr>
            <w:webHidden/>
          </w:rPr>
          <w:fldChar w:fldCharType="end"/>
        </w:r>
      </w:hyperlink>
    </w:p>
    <w:p w:rsidR="00235275" w:rsidRDefault="008648DB">
      <w:pPr>
        <w:pStyle w:val="TDC1"/>
        <w:rPr>
          <w:rFonts w:asciiTheme="minorHAnsi" w:eastAsiaTheme="minorEastAsia" w:hAnsiTheme="minorHAnsi" w:cstheme="minorBidi"/>
          <w:bCs w:val="0"/>
          <w:kern w:val="0"/>
          <w:szCs w:val="22"/>
          <w:lang w:val="es-PE" w:eastAsia="es-PE"/>
        </w:rPr>
      </w:pPr>
      <w:hyperlink w:anchor="_Toc440563702" w:history="1">
        <w:r w:rsidR="00235275" w:rsidRPr="00897749">
          <w:rPr>
            <w:rStyle w:val="Hipervnculo"/>
          </w:rPr>
          <w:t>Law No. 27649: Modifies Legislative Decree No. 861, Securities Exchange Act</w:t>
        </w:r>
        <w:r w:rsidR="00235275">
          <w:rPr>
            <w:webHidden/>
          </w:rPr>
          <w:tab/>
        </w:r>
        <w:r>
          <w:rPr>
            <w:webHidden/>
          </w:rPr>
          <w:fldChar w:fldCharType="begin"/>
        </w:r>
        <w:r w:rsidR="00235275">
          <w:rPr>
            <w:webHidden/>
          </w:rPr>
          <w:instrText xml:space="preserve"> PAGEREF _Toc440563702 \h </w:instrText>
        </w:r>
        <w:r>
          <w:rPr>
            <w:webHidden/>
          </w:rPr>
        </w:r>
        <w:r>
          <w:rPr>
            <w:webHidden/>
          </w:rPr>
          <w:fldChar w:fldCharType="separate"/>
        </w:r>
        <w:r w:rsidR="00D40584">
          <w:rPr>
            <w:webHidden/>
          </w:rPr>
          <w:t>1</w:t>
        </w:r>
        <w:r>
          <w:rPr>
            <w:webHidden/>
          </w:rPr>
          <w:fldChar w:fldCharType="end"/>
        </w:r>
      </w:hyperlink>
    </w:p>
    <w:p w:rsidR="00235275" w:rsidRDefault="008648DB">
      <w:pPr>
        <w:pStyle w:val="TDC1"/>
        <w:rPr>
          <w:rFonts w:asciiTheme="minorHAnsi" w:eastAsiaTheme="minorEastAsia" w:hAnsiTheme="minorHAnsi" w:cstheme="minorBidi"/>
          <w:bCs w:val="0"/>
          <w:kern w:val="0"/>
          <w:szCs w:val="22"/>
          <w:lang w:val="es-PE" w:eastAsia="es-PE"/>
        </w:rPr>
      </w:pPr>
      <w:hyperlink w:anchor="_Toc440563703" w:history="1">
        <w:r w:rsidR="00235275" w:rsidRPr="00897749">
          <w:rPr>
            <w:rStyle w:val="Hipervnculo"/>
          </w:rPr>
          <w:t>Legislative Decree No. 1061: Approves Modifications To Securities Exchange Act, Legislative Decree No. 861</w:t>
        </w:r>
        <w:r w:rsidR="00235275">
          <w:rPr>
            <w:webHidden/>
          </w:rPr>
          <w:tab/>
        </w:r>
        <w:r>
          <w:rPr>
            <w:webHidden/>
          </w:rPr>
          <w:fldChar w:fldCharType="begin"/>
        </w:r>
        <w:r w:rsidR="00235275">
          <w:rPr>
            <w:webHidden/>
          </w:rPr>
          <w:instrText xml:space="preserve"> PAGEREF _Toc440563703 \h </w:instrText>
        </w:r>
        <w:r>
          <w:rPr>
            <w:webHidden/>
          </w:rPr>
        </w:r>
        <w:r>
          <w:rPr>
            <w:webHidden/>
          </w:rPr>
          <w:fldChar w:fldCharType="separate"/>
        </w:r>
        <w:r w:rsidR="00D40584">
          <w:rPr>
            <w:webHidden/>
          </w:rPr>
          <w:t>1</w:t>
        </w:r>
        <w:r>
          <w:rPr>
            <w:webHidden/>
          </w:rPr>
          <w:fldChar w:fldCharType="end"/>
        </w:r>
      </w:hyperlink>
    </w:p>
    <w:p w:rsidR="00235275" w:rsidRDefault="008648DB">
      <w:pPr>
        <w:pStyle w:val="TDC1"/>
        <w:rPr>
          <w:rFonts w:asciiTheme="minorHAnsi" w:eastAsiaTheme="minorEastAsia" w:hAnsiTheme="minorHAnsi" w:cstheme="minorBidi"/>
          <w:bCs w:val="0"/>
          <w:kern w:val="0"/>
          <w:szCs w:val="22"/>
          <w:lang w:val="es-PE" w:eastAsia="es-PE"/>
        </w:rPr>
      </w:pPr>
      <w:hyperlink w:anchor="_Toc440563704" w:history="1">
        <w:r w:rsidR="00235275" w:rsidRPr="00897749">
          <w:rPr>
            <w:rStyle w:val="Hipervnculo"/>
          </w:rPr>
          <w:t>Law No. 29660: Establishes Measures To Sanction Price Manipulation In The Stock Market</w:t>
        </w:r>
        <w:r w:rsidR="00235275">
          <w:rPr>
            <w:webHidden/>
          </w:rPr>
          <w:tab/>
        </w:r>
        <w:r>
          <w:rPr>
            <w:webHidden/>
          </w:rPr>
          <w:fldChar w:fldCharType="begin"/>
        </w:r>
        <w:r w:rsidR="00235275">
          <w:rPr>
            <w:webHidden/>
          </w:rPr>
          <w:instrText xml:space="preserve"> PAGEREF _Toc440563704 \h </w:instrText>
        </w:r>
        <w:r>
          <w:rPr>
            <w:webHidden/>
          </w:rPr>
        </w:r>
        <w:r>
          <w:rPr>
            <w:webHidden/>
          </w:rPr>
          <w:fldChar w:fldCharType="separate"/>
        </w:r>
        <w:r w:rsidR="00D40584">
          <w:rPr>
            <w:webHidden/>
          </w:rPr>
          <w:t>2</w:t>
        </w:r>
        <w:r>
          <w:rPr>
            <w:webHidden/>
          </w:rPr>
          <w:fldChar w:fldCharType="end"/>
        </w:r>
      </w:hyperlink>
    </w:p>
    <w:p w:rsidR="00235275" w:rsidRDefault="008648DB">
      <w:pPr>
        <w:pStyle w:val="TDC1"/>
        <w:rPr>
          <w:rFonts w:asciiTheme="minorHAnsi" w:eastAsiaTheme="minorEastAsia" w:hAnsiTheme="minorHAnsi" w:cstheme="minorBidi"/>
          <w:bCs w:val="0"/>
          <w:kern w:val="0"/>
          <w:szCs w:val="22"/>
          <w:lang w:val="es-PE" w:eastAsia="es-PE"/>
        </w:rPr>
      </w:pPr>
      <w:hyperlink w:anchor="_Toc440563705" w:history="1">
        <w:r w:rsidR="00235275" w:rsidRPr="00897749">
          <w:rPr>
            <w:rStyle w:val="Hipervnculo"/>
          </w:rPr>
          <w:t>Law No. 29720: Promotes transferable securities and strengthens capital markets</w:t>
        </w:r>
        <w:r w:rsidR="00235275">
          <w:rPr>
            <w:webHidden/>
          </w:rPr>
          <w:tab/>
        </w:r>
        <w:r>
          <w:rPr>
            <w:webHidden/>
          </w:rPr>
          <w:fldChar w:fldCharType="begin"/>
        </w:r>
        <w:r w:rsidR="00235275">
          <w:rPr>
            <w:webHidden/>
          </w:rPr>
          <w:instrText xml:space="preserve"> PAGEREF _Toc440563705 \h </w:instrText>
        </w:r>
        <w:r>
          <w:rPr>
            <w:webHidden/>
          </w:rPr>
        </w:r>
        <w:r>
          <w:rPr>
            <w:webHidden/>
          </w:rPr>
          <w:fldChar w:fldCharType="separate"/>
        </w:r>
        <w:r w:rsidR="00D40584">
          <w:rPr>
            <w:webHidden/>
          </w:rPr>
          <w:t>2</w:t>
        </w:r>
        <w:r>
          <w:rPr>
            <w:webHidden/>
          </w:rPr>
          <w:fldChar w:fldCharType="end"/>
        </w:r>
      </w:hyperlink>
    </w:p>
    <w:p w:rsidR="00235275" w:rsidRDefault="008648DB">
      <w:pPr>
        <w:pStyle w:val="TDC1"/>
        <w:rPr>
          <w:rFonts w:asciiTheme="minorHAnsi" w:eastAsiaTheme="minorEastAsia" w:hAnsiTheme="minorHAnsi" w:cstheme="minorBidi"/>
          <w:bCs w:val="0"/>
          <w:kern w:val="0"/>
          <w:szCs w:val="22"/>
          <w:lang w:val="es-PE" w:eastAsia="es-PE"/>
        </w:rPr>
      </w:pPr>
      <w:hyperlink w:anchor="_Toc440563706" w:history="1">
        <w:r w:rsidR="00235275" w:rsidRPr="00897749">
          <w:rPr>
            <w:rStyle w:val="Hipervnculo"/>
          </w:rPr>
          <w:t>Law No. 29782: Strengthening Supervision In The Stock Market</w:t>
        </w:r>
        <w:r w:rsidR="00235275">
          <w:rPr>
            <w:webHidden/>
          </w:rPr>
          <w:tab/>
        </w:r>
        <w:r>
          <w:rPr>
            <w:webHidden/>
          </w:rPr>
          <w:fldChar w:fldCharType="begin"/>
        </w:r>
        <w:r w:rsidR="00235275">
          <w:rPr>
            <w:webHidden/>
          </w:rPr>
          <w:instrText xml:space="preserve"> PAGEREF _Toc440563706 \h </w:instrText>
        </w:r>
        <w:r>
          <w:rPr>
            <w:webHidden/>
          </w:rPr>
        </w:r>
        <w:r>
          <w:rPr>
            <w:webHidden/>
          </w:rPr>
          <w:fldChar w:fldCharType="separate"/>
        </w:r>
        <w:r w:rsidR="00D40584">
          <w:rPr>
            <w:webHidden/>
          </w:rPr>
          <w:t>3</w:t>
        </w:r>
        <w:r>
          <w:rPr>
            <w:webHidden/>
          </w:rPr>
          <w:fldChar w:fldCharType="end"/>
        </w:r>
      </w:hyperlink>
    </w:p>
    <w:p w:rsidR="00740583" w:rsidRDefault="00740583">
      <w:pPr>
        <w:pStyle w:val="TDC1"/>
        <w:rPr>
          <w:rStyle w:val="Hipervnculo"/>
        </w:rPr>
      </w:pPr>
    </w:p>
    <w:p w:rsidR="00235275" w:rsidRDefault="008648DB">
      <w:pPr>
        <w:pStyle w:val="TDC1"/>
        <w:rPr>
          <w:rFonts w:asciiTheme="minorHAnsi" w:eastAsiaTheme="minorEastAsia" w:hAnsiTheme="minorHAnsi" w:cstheme="minorBidi"/>
          <w:bCs w:val="0"/>
          <w:kern w:val="0"/>
          <w:szCs w:val="22"/>
          <w:lang w:val="es-PE" w:eastAsia="es-PE"/>
        </w:rPr>
      </w:pPr>
      <w:hyperlink w:anchor="_Toc440563707" w:history="1">
        <w:r w:rsidR="00235275" w:rsidRPr="00740583">
          <w:rPr>
            <w:rStyle w:val="Hipervnculo"/>
            <w:b/>
          </w:rPr>
          <w:t>ANNEX II</w:t>
        </w:r>
        <w:r w:rsidR="00B02058">
          <w:rPr>
            <w:rStyle w:val="Hipervnculo"/>
            <w:b/>
          </w:rPr>
          <w:t xml:space="preserve"> </w:t>
        </w:r>
      </w:hyperlink>
    </w:p>
    <w:p w:rsidR="00235275" w:rsidRDefault="008648DB">
      <w:pPr>
        <w:pStyle w:val="TDC1"/>
        <w:rPr>
          <w:rFonts w:asciiTheme="minorHAnsi" w:eastAsiaTheme="minorEastAsia" w:hAnsiTheme="minorHAnsi" w:cstheme="minorBidi"/>
          <w:bCs w:val="0"/>
          <w:kern w:val="0"/>
          <w:szCs w:val="22"/>
          <w:lang w:val="es-PE" w:eastAsia="es-PE"/>
        </w:rPr>
      </w:pPr>
      <w:hyperlink w:anchor="_Toc440563708" w:history="1">
        <w:r w:rsidR="00235275" w:rsidRPr="00740583">
          <w:rPr>
            <w:rStyle w:val="Hipervnculo"/>
            <w:b/>
          </w:rPr>
          <w:t>PROVISIONS THAT ARE NOT PART OF THE SECURITIES EXCHANGE ACT WHICH MODIFY THE COMPANY ACT AND OTHER RELATED NORMS</w:t>
        </w:r>
        <w:r w:rsidR="00235275">
          <w:rPr>
            <w:webHidden/>
          </w:rPr>
          <w:tab/>
        </w:r>
        <w:r>
          <w:rPr>
            <w:webHidden/>
          </w:rPr>
          <w:fldChar w:fldCharType="begin"/>
        </w:r>
        <w:r w:rsidR="00235275">
          <w:rPr>
            <w:webHidden/>
          </w:rPr>
          <w:instrText xml:space="preserve"> PAGEREF _Toc440563708 \h </w:instrText>
        </w:r>
        <w:r>
          <w:rPr>
            <w:webHidden/>
          </w:rPr>
        </w:r>
        <w:r>
          <w:rPr>
            <w:webHidden/>
          </w:rPr>
          <w:fldChar w:fldCharType="separate"/>
        </w:r>
        <w:r w:rsidR="00D40584">
          <w:rPr>
            <w:webHidden/>
          </w:rPr>
          <w:t>4</w:t>
        </w:r>
        <w:r>
          <w:rPr>
            <w:webHidden/>
          </w:rPr>
          <w:fldChar w:fldCharType="end"/>
        </w:r>
      </w:hyperlink>
    </w:p>
    <w:p w:rsidR="00235275" w:rsidRDefault="008648DB">
      <w:pPr>
        <w:pStyle w:val="TDC1"/>
        <w:rPr>
          <w:rFonts w:asciiTheme="minorHAnsi" w:eastAsiaTheme="minorEastAsia" w:hAnsiTheme="minorHAnsi" w:cstheme="minorBidi"/>
          <w:bCs w:val="0"/>
          <w:kern w:val="0"/>
          <w:szCs w:val="22"/>
          <w:lang w:val="es-PE" w:eastAsia="es-PE"/>
        </w:rPr>
      </w:pPr>
      <w:hyperlink w:anchor="_Toc440563710" w:history="1">
        <w:r w:rsidR="00235275" w:rsidRPr="00897749">
          <w:rPr>
            <w:rStyle w:val="Hipervnculo"/>
          </w:rPr>
          <w:t>Law No. 27649 published 23.01.2002</w:t>
        </w:r>
        <w:r w:rsidR="00235275">
          <w:rPr>
            <w:webHidden/>
          </w:rPr>
          <w:tab/>
        </w:r>
        <w:r>
          <w:rPr>
            <w:webHidden/>
          </w:rPr>
          <w:fldChar w:fldCharType="begin"/>
        </w:r>
        <w:r w:rsidR="00235275">
          <w:rPr>
            <w:webHidden/>
          </w:rPr>
          <w:instrText xml:space="preserve"> PAGEREF _Toc440563710 \h </w:instrText>
        </w:r>
        <w:r>
          <w:rPr>
            <w:webHidden/>
          </w:rPr>
        </w:r>
        <w:r>
          <w:rPr>
            <w:webHidden/>
          </w:rPr>
          <w:fldChar w:fldCharType="separate"/>
        </w:r>
        <w:r w:rsidR="00D40584">
          <w:rPr>
            <w:webHidden/>
          </w:rPr>
          <w:t>4</w:t>
        </w:r>
        <w:r>
          <w:rPr>
            <w:webHidden/>
          </w:rPr>
          <w:fldChar w:fldCharType="end"/>
        </w:r>
      </w:hyperlink>
    </w:p>
    <w:p w:rsidR="00235275" w:rsidRDefault="008648DB">
      <w:pPr>
        <w:pStyle w:val="TDC1"/>
        <w:rPr>
          <w:rFonts w:asciiTheme="minorHAnsi" w:eastAsiaTheme="minorEastAsia" w:hAnsiTheme="minorHAnsi" w:cstheme="minorBidi"/>
          <w:bCs w:val="0"/>
          <w:kern w:val="0"/>
          <w:szCs w:val="22"/>
          <w:lang w:val="es-PE" w:eastAsia="es-PE"/>
        </w:rPr>
      </w:pPr>
      <w:hyperlink w:anchor="_Toc440563711" w:history="1">
        <w:r w:rsidR="00235275" w:rsidRPr="00897749">
          <w:rPr>
            <w:rStyle w:val="Hipervnculo"/>
          </w:rPr>
          <w:t>Legislative Decree No. 1061 published 28.06.2008</w:t>
        </w:r>
        <w:r w:rsidR="00235275">
          <w:rPr>
            <w:webHidden/>
          </w:rPr>
          <w:tab/>
        </w:r>
        <w:r>
          <w:rPr>
            <w:webHidden/>
          </w:rPr>
          <w:fldChar w:fldCharType="begin"/>
        </w:r>
        <w:r w:rsidR="00235275">
          <w:rPr>
            <w:webHidden/>
          </w:rPr>
          <w:instrText xml:space="preserve"> PAGEREF _Toc440563711 \h </w:instrText>
        </w:r>
        <w:r>
          <w:rPr>
            <w:webHidden/>
          </w:rPr>
        </w:r>
        <w:r>
          <w:rPr>
            <w:webHidden/>
          </w:rPr>
          <w:fldChar w:fldCharType="separate"/>
        </w:r>
        <w:r w:rsidR="00D40584">
          <w:rPr>
            <w:webHidden/>
          </w:rPr>
          <w:t>4</w:t>
        </w:r>
        <w:r>
          <w:rPr>
            <w:webHidden/>
          </w:rPr>
          <w:fldChar w:fldCharType="end"/>
        </w:r>
      </w:hyperlink>
    </w:p>
    <w:p w:rsidR="00235275" w:rsidRDefault="008648DB">
      <w:pPr>
        <w:pStyle w:val="TDC1"/>
        <w:rPr>
          <w:rFonts w:asciiTheme="minorHAnsi" w:eastAsiaTheme="minorEastAsia" w:hAnsiTheme="minorHAnsi" w:cstheme="minorBidi"/>
          <w:bCs w:val="0"/>
          <w:kern w:val="0"/>
          <w:szCs w:val="22"/>
          <w:lang w:val="es-PE" w:eastAsia="es-PE"/>
        </w:rPr>
      </w:pPr>
      <w:hyperlink w:anchor="_Toc440563712" w:history="1">
        <w:r w:rsidR="00235275" w:rsidRPr="00897749">
          <w:rPr>
            <w:rStyle w:val="Hipervnculo"/>
          </w:rPr>
          <w:t>Law No. 29720 published 25.06.2011</w:t>
        </w:r>
        <w:r w:rsidR="00235275">
          <w:rPr>
            <w:webHidden/>
          </w:rPr>
          <w:tab/>
        </w:r>
        <w:r>
          <w:rPr>
            <w:webHidden/>
          </w:rPr>
          <w:fldChar w:fldCharType="begin"/>
        </w:r>
        <w:r w:rsidR="00235275">
          <w:rPr>
            <w:webHidden/>
          </w:rPr>
          <w:instrText xml:space="preserve"> PAGEREF _Toc440563712 \h </w:instrText>
        </w:r>
        <w:r>
          <w:rPr>
            <w:webHidden/>
          </w:rPr>
        </w:r>
        <w:r>
          <w:rPr>
            <w:webHidden/>
          </w:rPr>
          <w:fldChar w:fldCharType="separate"/>
        </w:r>
        <w:r w:rsidR="00D40584">
          <w:rPr>
            <w:webHidden/>
          </w:rPr>
          <w:t>4</w:t>
        </w:r>
        <w:r>
          <w:rPr>
            <w:webHidden/>
          </w:rPr>
          <w:fldChar w:fldCharType="end"/>
        </w:r>
      </w:hyperlink>
    </w:p>
    <w:p w:rsidR="00235275" w:rsidRDefault="008648DB">
      <w:pPr>
        <w:pStyle w:val="TDC1"/>
        <w:rPr>
          <w:rFonts w:asciiTheme="minorHAnsi" w:eastAsiaTheme="minorEastAsia" w:hAnsiTheme="minorHAnsi" w:cstheme="minorBidi"/>
          <w:bCs w:val="0"/>
          <w:kern w:val="0"/>
          <w:szCs w:val="22"/>
          <w:lang w:val="es-PE" w:eastAsia="es-PE"/>
        </w:rPr>
      </w:pPr>
      <w:hyperlink w:anchor="_Toc440563713" w:history="1">
        <w:r w:rsidR="00235275" w:rsidRPr="00897749">
          <w:rPr>
            <w:rStyle w:val="Hipervnculo"/>
          </w:rPr>
          <w:t>Law No. 29782 published 28.07.2011</w:t>
        </w:r>
        <w:r w:rsidR="00235275">
          <w:rPr>
            <w:webHidden/>
          </w:rPr>
          <w:tab/>
        </w:r>
        <w:r>
          <w:rPr>
            <w:webHidden/>
          </w:rPr>
          <w:fldChar w:fldCharType="begin"/>
        </w:r>
        <w:r w:rsidR="00235275">
          <w:rPr>
            <w:webHidden/>
          </w:rPr>
          <w:instrText xml:space="preserve"> PAGEREF _Toc440563713 \h </w:instrText>
        </w:r>
        <w:r>
          <w:rPr>
            <w:webHidden/>
          </w:rPr>
        </w:r>
        <w:r>
          <w:rPr>
            <w:webHidden/>
          </w:rPr>
          <w:fldChar w:fldCharType="separate"/>
        </w:r>
        <w:r w:rsidR="00D40584">
          <w:rPr>
            <w:webHidden/>
          </w:rPr>
          <w:t>4</w:t>
        </w:r>
        <w:r>
          <w:rPr>
            <w:webHidden/>
          </w:rPr>
          <w:fldChar w:fldCharType="end"/>
        </w:r>
      </w:hyperlink>
    </w:p>
    <w:p w:rsidR="00235275" w:rsidRDefault="008648DB">
      <w:pPr>
        <w:pStyle w:val="TDC1"/>
        <w:rPr>
          <w:rFonts w:asciiTheme="minorHAnsi" w:eastAsiaTheme="minorEastAsia" w:hAnsiTheme="minorHAnsi" w:cstheme="minorBidi"/>
          <w:bCs w:val="0"/>
          <w:kern w:val="0"/>
          <w:szCs w:val="22"/>
          <w:lang w:val="es-PE" w:eastAsia="es-PE"/>
        </w:rPr>
      </w:pPr>
      <w:hyperlink w:anchor="_Toc440563714" w:history="1">
        <w:r w:rsidR="00235275" w:rsidRPr="00897749">
          <w:rPr>
            <w:rStyle w:val="Hipervnculo"/>
          </w:rPr>
          <w:t>Law No. 30050 published 26.06.2013</w:t>
        </w:r>
        <w:r w:rsidR="00235275">
          <w:rPr>
            <w:webHidden/>
          </w:rPr>
          <w:tab/>
        </w:r>
        <w:r>
          <w:rPr>
            <w:webHidden/>
          </w:rPr>
          <w:fldChar w:fldCharType="begin"/>
        </w:r>
        <w:r w:rsidR="00235275">
          <w:rPr>
            <w:webHidden/>
          </w:rPr>
          <w:instrText xml:space="preserve"> PAGEREF _Toc440563714 \h </w:instrText>
        </w:r>
        <w:r>
          <w:rPr>
            <w:webHidden/>
          </w:rPr>
        </w:r>
        <w:r>
          <w:rPr>
            <w:webHidden/>
          </w:rPr>
          <w:fldChar w:fldCharType="separate"/>
        </w:r>
        <w:r w:rsidR="00D40584">
          <w:rPr>
            <w:webHidden/>
          </w:rPr>
          <w:t>4</w:t>
        </w:r>
        <w:r>
          <w:rPr>
            <w:webHidden/>
          </w:rPr>
          <w:fldChar w:fldCharType="end"/>
        </w:r>
      </w:hyperlink>
    </w:p>
    <w:p w:rsidR="00235275" w:rsidRDefault="008648DB">
      <w:pPr>
        <w:pStyle w:val="TDC1"/>
        <w:rPr>
          <w:rFonts w:asciiTheme="minorHAnsi" w:eastAsiaTheme="minorEastAsia" w:hAnsiTheme="minorHAnsi" w:cstheme="minorBidi"/>
          <w:bCs w:val="0"/>
          <w:kern w:val="0"/>
          <w:szCs w:val="22"/>
          <w:lang w:val="es-PE" w:eastAsia="es-PE"/>
        </w:rPr>
      </w:pPr>
      <w:hyperlink w:anchor="_Toc440563715" w:history="1">
        <w:r w:rsidR="00235275" w:rsidRPr="00897749">
          <w:rPr>
            <w:rStyle w:val="Hipervnculo"/>
          </w:rPr>
          <w:t>LAW No. 27649: Modifies  Legislative Decree No. 861, Securities Exchange Act.</w:t>
        </w:r>
        <w:r w:rsidR="00235275">
          <w:rPr>
            <w:webHidden/>
          </w:rPr>
          <w:tab/>
        </w:r>
        <w:r>
          <w:rPr>
            <w:webHidden/>
          </w:rPr>
          <w:fldChar w:fldCharType="begin"/>
        </w:r>
        <w:r w:rsidR="00235275">
          <w:rPr>
            <w:webHidden/>
          </w:rPr>
          <w:instrText xml:space="preserve"> PAGEREF _Toc440563715 \h </w:instrText>
        </w:r>
        <w:r>
          <w:rPr>
            <w:webHidden/>
          </w:rPr>
        </w:r>
        <w:r>
          <w:rPr>
            <w:webHidden/>
          </w:rPr>
          <w:fldChar w:fldCharType="separate"/>
        </w:r>
        <w:r w:rsidR="00D40584">
          <w:rPr>
            <w:webHidden/>
          </w:rPr>
          <w:t>5</w:t>
        </w:r>
        <w:r>
          <w:rPr>
            <w:webHidden/>
          </w:rPr>
          <w:fldChar w:fldCharType="end"/>
        </w:r>
      </w:hyperlink>
    </w:p>
    <w:p w:rsidR="00235275" w:rsidRDefault="008648DB">
      <w:pPr>
        <w:pStyle w:val="TDC1"/>
        <w:rPr>
          <w:rFonts w:asciiTheme="minorHAnsi" w:eastAsiaTheme="minorEastAsia" w:hAnsiTheme="minorHAnsi" w:cstheme="minorBidi"/>
          <w:bCs w:val="0"/>
          <w:kern w:val="0"/>
          <w:szCs w:val="22"/>
          <w:lang w:val="es-PE" w:eastAsia="es-PE"/>
        </w:rPr>
      </w:pPr>
      <w:hyperlink w:anchor="_Toc440563716" w:history="1">
        <w:r w:rsidR="00235275" w:rsidRPr="00897749">
          <w:rPr>
            <w:rStyle w:val="Hipervnculo"/>
          </w:rPr>
          <w:t>LEGISLATIVE DECREE No. 1061: Approve modifications to the Securities Exchange Act, Legislative Decree No. 861</w:t>
        </w:r>
        <w:r w:rsidR="00235275">
          <w:rPr>
            <w:webHidden/>
          </w:rPr>
          <w:tab/>
        </w:r>
        <w:r>
          <w:rPr>
            <w:webHidden/>
          </w:rPr>
          <w:fldChar w:fldCharType="begin"/>
        </w:r>
        <w:r w:rsidR="00235275">
          <w:rPr>
            <w:webHidden/>
          </w:rPr>
          <w:instrText xml:space="preserve"> PAGEREF _Toc440563716 \h </w:instrText>
        </w:r>
        <w:r>
          <w:rPr>
            <w:webHidden/>
          </w:rPr>
        </w:r>
        <w:r>
          <w:rPr>
            <w:webHidden/>
          </w:rPr>
          <w:fldChar w:fldCharType="separate"/>
        </w:r>
        <w:r w:rsidR="00D40584">
          <w:rPr>
            <w:webHidden/>
          </w:rPr>
          <w:t>5</w:t>
        </w:r>
        <w:r>
          <w:rPr>
            <w:webHidden/>
          </w:rPr>
          <w:fldChar w:fldCharType="end"/>
        </w:r>
      </w:hyperlink>
    </w:p>
    <w:p w:rsidR="00235275" w:rsidRDefault="008648DB">
      <w:pPr>
        <w:pStyle w:val="TDC1"/>
        <w:rPr>
          <w:rFonts w:asciiTheme="minorHAnsi" w:eastAsiaTheme="minorEastAsia" w:hAnsiTheme="minorHAnsi" w:cstheme="minorBidi"/>
          <w:bCs w:val="0"/>
          <w:kern w:val="0"/>
          <w:szCs w:val="22"/>
          <w:lang w:val="es-PE" w:eastAsia="es-PE"/>
        </w:rPr>
      </w:pPr>
      <w:hyperlink w:anchor="_Toc440563717" w:history="1">
        <w:r w:rsidR="00235275" w:rsidRPr="00897749">
          <w:rPr>
            <w:rStyle w:val="Hipervnculo"/>
          </w:rPr>
          <w:t>LAW No. 29720: Promotes transferable securities and strengthens capital markets.</w:t>
        </w:r>
        <w:r w:rsidR="00235275">
          <w:rPr>
            <w:webHidden/>
          </w:rPr>
          <w:tab/>
        </w:r>
        <w:r>
          <w:rPr>
            <w:webHidden/>
          </w:rPr>
          <w:fldChar w:fldCharType="begin"/>
        </w:r>
        <w:r w:rsidR="00235275">
          <w:rPr>
            <w:webHidden/>
          </w:rPr>
          <w:instrText xml:space="preserve"> PAGEREF _Toc440563717 \h </w:instrText>
        </w:r>
        <w:r>
          <w:rPr>
            <w:webHidden/>
          </w:rPr>
        </w:r>
        <w:r>
          <w:rPr>
            <w:webHidden/>
          </w:rPr>
          <w:fldChar w:fldCharType="separate"/>
        </w:r>
        <w:r w:rsidR="00D40584">
          <w:rPr>
            <w:webHidden/>
          </w:rPr>
          <w:t>7</w:t>
        </w:r>
        <w:r>
          <w:rPr>
            <w:webHidden/>
          </w:rPr>
          <w:fldChar w:fldCharType="end"/>
        </w:r>
      </w:hyperlink>
    </w:p>
    <w:p w:rsidR="00235275" w:rsidRDefault="008648DB">
      <w:pPr>
        <w:pStyle w:val="TDC1"/>
        <w:rPr>
          <w:rFonts w:asciiTheme="minorHAnsi" w:eastAsiaTheme="minorEastAsia" w:hAnsiTheme="minorHAnsi" w:cstheme="minorBidi"/>
          <w:bCs w:val="0"/>
          <w:kern w:val="0"/>
          <w:szCs w:val="22"/>
          <w:lang w:val="es-PE" w:eastAsia="es-PE"/>
        </w:rPr>
      </w:pPr>
      <w:hyperlink w:anchor="_Toc440563718" w:history="1">
        <w:r w:rsidR="00235275" w:rsidRPr="00897749">
          <w:rPr>
            <w:rStyle w:val="Hipervnculo"/>
          </w:rPr>
          <w:t>LAW No. 29782: Strengthening supervision of stock market</w:t>
        </w:r>
        <w:r w:rsidR="00235275">
          <w:rPr>
            <w:webHidden/>
          </w:rPr>
          <w:tab/>
        </w:r>
        <w:r>
          <w:rPr>
            <w:webHidden/>
          </w:rPr>
          <w:fldChar w:fldCharType="begin"/>
        </w:r>
        <w:r w:rsidR="00235275">
          <w:rPr>
            <w:webHidden/>
          </w:rPr>
          <w:instrText xml:space="preserve"> PAGEREF _Toc440563718 \h </w:instrText>
        </w:r>
        <w:r>
          <w:rPr>
            <w:webHidden/>
          </w:rPr>
        </w:r>
        <w:r>
          <w:rPr>
            <w:webHidden/>
          </w:rPr>
          <w:fldChar w:fldCharType="separate"/>
        </w:r>
        <w:r w:rsidR="00D40584">
          <w:rPr>
            <w:webHidden/>
          </w:rPr>
          <w:t>8</w:t>
        </w:r>
        <w:r>
          <w:rPr>
            <w:webHidden/>
          </w:rPr>
          <w:fldChar w:fldCharType="end"/>
        </w:r>
      </w:hyperlink>
    </w:p>
    <w:p w:rsidR="00235275" w:rsidRDefault="008648DB">
      <w:pPr>
        <w:pStyle w:val="TDC1"/>
        <w:rPr>
          <w:rFonts w:asciiTheme="minorHAnsi" w:eastAsiaTheme="minorEastAsia" w:hAnsiTheme="minorHAnsi" w:cstheme="minorBidi"/>
          <w:bCs w:val="0"/>
          <w:kern w:val="0"/>
          <w:szCs w:val="22"/>
          <w:lang w:val="es-PE" w:eastAsia="es-PE"/>
        </w:rPr>
      </w:pPr>
      <w:hyperlink w:anchor="_Toc440563719" w:history="1">
        <w:r w:rsidR="00235275" w:rsidRPr="00897749">
          <w:rPr>
            <w:rStyle w:val="Hipervnculo"/>
          </w:rPr>
          <w:t>LAW N° 30050, Stock Market Promotion Law</w:t>
        </w:r>
        <w:r w:rsidR="00235275">
          <w:rPr>
            <w:webHidden/>
          </w:rPr>
          <w:tab/>
        </w:r>
        <w:r>
          <w:rPr>
            <w:webHidden/>
          </w:rPr>
          <w:fldChar w:fldCharType="begin"/>
        </w:r>
        <w:r w:rsidR="00235275">
          <w:rPr>
            <w:webHidden/>
          </w:rPr>
          <w:instrText xml:space="preserve"> PAGEREF _Toc440563719 \h </w:instrText>
        </w:r>
        <w:r>
          <w:rPr>
            <w:webHidden/>
          </w:rPr>
        </w:r>
        <w:r>
          <w:rPr>
            <w:webHidden/>
          </w:rPr>
          <w:fldChar w:fldCharType="separate"/>
        </w:r>
        <w:r w:rsidR="00D40584">
          <w:rPr>
            <w:webHidden/>
          </w:rPr>
          <w:t>9</w:t>
        </w:r>
        <w:r>
          <w:rPr>
            <w:webHidden/>
          </w:rPr>
          <w:fldChar w:fldCharType="end"/>
        </w:r>
      </w:hyperlink>
    </w:p>
    <w:p w:rsidR="00335B64" w:rsidRDefault="00335B64">
      <w:pPr>
        <w:pStyle w:val="TDC1"/>
        <w:rPr>
          <w:rStyle w:val="Hipervnculo"/>
          <w:b/>
          <w:color w:val="auto"/>
          <w:u w:val="none"/>
        </w:rPr>
      </w:pPr>
    </w:p>
    <w:p w:rsidR="00740583" w:rsidRPr="00740583" w:rsidRDefault="00740583">
      <w:pPr>
        <w:pStyle w:val="TDC1"/>
        <w:rPr>
          <w:rStyle w:val="Hipervnculo"/>
          <w:b/>
          <w:color w:val="auto"/>
        </w:rPr>
      </w:pPr>
      <w:r w:rsidRPr="00335B64">
        <w:rPr>
          <w:rStyle w:val="Hipervnculo"/>
          <w:b/>
          <w:color w:val="auto"/>
          <w:u w:val="none"/>
        </w:rPr>
        <w:t>ANNEX</w:t>
      </w:r>
      <w:r w:rsidR="00422BC9" w:rsidRPr="00335B64">
        <w:rPr>
          <w:rStyle w:val="Hipervnculo"/>
          <w:b/>
          <w:color w:val="auto"/>
          <w:u w:val="none"/>
        </w:rPr>
        <w:t xml:space="preserve"> III</w:t>
      </w:r>
    </w:p>
    <w:p w:rsidR="00235275" w:rsidRDefault="008648DB">
      <w:pPr>
        <w:pStyle w:val="TDC1"/>
        <w:rPr>
          <w:rFonts w:asciiTheme="minorHAnsi" w:eastAsiaTheme="minorEastAsia" w:hAnsiTheme="minorHAnsi" w:cstheme="minorBidi"/>
          <w:bCs w:val="0"/>
          <w:kern w:val="0"/>
          <w:szCs w:val="22"/>
          <w:lang w:val="es-PE" w:eastAsia="es-PE"/>
        </w:rPr>
      </w:pPr>
      <w:hyperlink w:anchor="_Toc440563721" w:history="1">
        <w:r w:rsidR="00235275" w:rsidRPr="00740583">
          <w:rPr>
            <w:rStyle w:val="Hipervnculo"/>
            <w:b/>
          </w:rPr>
          <w:t xml:space="preserve">PROVISIONS THAT ARE NOT PART OF THE SECURITES EXCHANGE ACT AND CONTAIN CHANGES TO THE </w:t>
        </w:r>
        <w:r w:rsidR="00455204">
          <w:rPr>
            <w:rStyle w:val="Hipervnculo"/>
            <w:b/>
          </w:rPr>
          <w:t>CRIMIN</w:t>
        </w:r>
        <w:r w:rsidR="00235275" w:rsidRPr="00740583">
          <w:rPr>
            <w:rStyle w:val="Hipervnculo"/>
            <w:b/>
          </w:rPr>
          <w:t>AL CODE</w:t>
        </w:r>
        <w:r w:rsidR="00235275">
          <w:rPr>
            <w:webHidden/>
          </w:rPr>
          <w:tab/>
        </w:r>
        <w:r>
          <w:rPr>
            <w:webHidden/>
          </w:rPr>
          <w:fldChar w:fldCharType="begin"/>
        </w:r>
        <w:r w:rsidR="00235275">
          <w:rPr>
            <w:webHidden/>
          </w:rPr>
          <w:instrText xml:space="preserve"> PAGEREF _Toc440563721 \h </w:instrText>
        </w:r>
        <w:r>
          <w:rPr>
            <w:webHidden/>
          </w:rPr>
        </w:r>
        <w:r>
          <w:rPr>
            <w:webHidden/>
          </w:rPr>
          <w:fldChar w:fldCharType="separate"/>
        </w:r>
        <w:r w:rsidR="00D40584">
          <w:rPr>
            <w:webHidden/>
          </w:rPr>
          <w:t>11</w:t>
        </w:r>
        <w:r>
          <w:rPr>
            <w:webHidden/>
          </w:rPr>
          <w:fldChar w:fldCharType="end"/>
        </w:r>
      </w:hyperlink>
    </w:p>
    <w:p w:rsidR="00235275" w:rsidRDefault="008648DB">
      <w:pPr>
        <w:pStyle w:val="TDC1"/>
        <w:rPr>
          <w:rFonts w:asciiTheme="minorHAnsi" w:eastAsiaTheme="minorEastAsia" w:hAnsiTheme="minorHAnsi" w:cstheme="minorBidi"/>
          <w:bCs w:val="0"/>
          <w:kern w:val="0"/>
          <w:szCs w:val="22"/>
          <w:lang w:val="es-PE" w:eastAsia="es-PE"/>
        </w:rPr>
      </w:pPr>
      <w:hyperlink w:anchor="_Toc440563723" w:history="1">
        <w:r w:rsidR="00235275" w:rsidRPr="00897749">
          <w:rPr>
            <w:rStyle w:val="Hipervnculo"/>
          </w:rPr>
          <w:t>Law No. 27649 published on 23.01.2002</w:t>
        </w:r>
        <w:r w:rsidR="00235275">
          <w:rPr>
            <w:webHidden/>
          </w:rPr>
          <w:tab/>
        </w:r>
        <w:r>
          <w:rPr>
            <w:webHidden/>
          </w:rPr>
          <w:fldChar w:fldCharType="begin"/>
        </w:r>
        <w:r w:rsidR="00235275">
          <w:rPr>
            <w:webHidden/>
          </w:rPr>
          <w:instrText xml:space="preserve"> PAGEREF _Toc440563723 \h </w:instrText>
        </w:r>
        <w:r>
          <w:rPr>
            <w:webHidden/>
          </w:rPr>
        </w:r>
        <w:r>
          <w:rPr>
            <w:webHidden/>
          </w:rPr>
          <w:fldChar w:fldCharType="separate"/>
        </w:r>
        <w:r w:rsidR="00D40584">
          <w:rPr>
            <w:webHidden/>
          </w:rPr>
          <w:t>11</w:t>
        </w:r>
        <w:r>
          <w:rPr>
            <w:webHidden/>
          </w:rPr>
          <w:fldChar w:fldCharType="end"/>
        </w:r>
      </w:hyperlink>
    </w:p>
    <w:p w:rsidR="00235275" w:rsidRDefault="008648DB">
      <w:pPr>
        <w:pStyle w:val="TDC1"/>
        <w:rPr>
          <w:rFonts w:asciiTheme="minorHAnsi" w:eastAsiaTheme="minorEastAsia" w:hAnsiTheme="minorHAnsi" w:cstheme="minorBidi"/>
          <w:bCs w:val="0"/>
          <w:kern w:val="0"/>
          <w:szCs w:val="22"/>
          <w:lang w:val="es-PE" w:eastAsia="es-PE"/>
        </w:rPr>
      </w:pPr>
      <w:hyperlink w:anchor="_Toc440563724" w:history="1">
        <w:r w:rsidR="00235275" w:rsidRPr="00897749">
          <w:rPr>
            <w:rStyle w:val="Hipervnculo"/>
          </w:rPr>
          <w:t>Law No. 29660 published on 04.02.2011</w:t>
        </w:r>
        <w:r w:rsidR="00235275">
          <w:rPr>
            <w:webHidden/>
          </w:rPr>
          <w:tab/>
        </w:r>
        <w:r>
          <w:rPr>
            <w:webHidden/>
          </w:rPr>
          <w:fldChar w:fldCharType="begin"/>
        </w:r>
        <w:r w:rsidR="00235275">
          <w:rPr>
            <w:webHidden/>
          </w:rPr>
          <w:instrText xml:space="preserve"> PAGEREF _Toc440563724 \h </w:instrText>
        </w:r>
        <w:r>
          <w:rPr>
            <w:webHidden/>
          </w:rPr>
        </w:r>
        <w:r>
          <w:rPr>
            <w:webHidden/>
          </w:rPr>
          <w:fldChar w:fldCharType="separate"/>
        </w:r>
        <w:r w:rsidR="00D40584">
          <w:rPr>
            <w:webHidden/>
          </w:rPr>
          <w:t>11</w:t>
        </w:r>
        <w:r>
          <w:rPr>
            <w:webHidden/>
          </w:rPr>
          <w:fldChar w:fldCharType="end"/>
        </w:r>
      </w:hyperlink>
    </w:p>
    <w:p w:rsidR="00235275" w:rsidRDefault="008648DB">
      <w:pPr>
        <w:pStyle w:val="TDC1"/>
        <w:rPr>
          <w:rFonts w:asciiTheme="minorHAnsi" w:eastAsiaTheme="minorEastAsia" w:hAnsiTheme="minorHAnsi" w:cstheme="minorBidi"/>
          <w:bCs w:val="0"/>
          <w:kern w:val="0"/>
          <w:szCs w:val="22"/>
          <w:lang w:val="es-PE" w:eastAsia="es-PE"/>
        </w:rPr>
      </w:pPr>
      <w:hyperlink w:anchor="_Toc440563725" w:history="1">
        <w:r w:rsidR="00235275" w:rsidRPr="00897749">
          <w:rPr>
            <w:rStyle w:val="Hipervnculo"/>
          </w:rPr>
          <w:t>Law No. 30050 published on 26.06.2013</w:t>
        </w:r>
        <w:r w:rsidR="00235275">
          <w:rPr>
            <w:webHidden/>
          </w:rPr>
          <w:tab/>
        </w:r>
        <w:r>
          <w:rPr>
            <w:webHidden/>
          </w:rPr>
          <w:fldChar w:fldCharType="begin"/>
        </w:r>
        <w:r w:rsidR="00235275">
          <w:rPr>
            <w:webHidden/>
          </w:rPr>
          <w:instrText xml:space="preserve"> PAGEREF _Toc440563725 \h </w:instrText>
        </w:r>
        <w:r>
          <w:rPr>
            <w:webHidden/>
          </w:rPr>
        </w:r>
        <w:r>
          <w:rPr>
            <w:webHidden/>
          </w:rPr>
          <w:fldChar w:fldCharType="separate"/>
        </w:r>
        <w:r w:rsidR="00D40584">
          <w:rPr>
            <w:webHidden/>
          </w:rPr>
          <w:t>11</w:t>
        </w:r>
        <w:r>
          <w:rPr>
            <w:webHidden/>
          </w:rPr>
          <w:fldChar w:fldCharType="end"/>
        </w:r>
      </w:hyperlink>
    </w:p>
    <w:p w:rsidR="00235275" w:rsidRDefault="008648DB">
      <w:pPr>
        <w:pStyle w:val="TDC1"/>
        <w:rPr>
          <w:rFonts w:asciiTheme="minorHAnsi" w:eastAsiaTheme="minorEastAsia" w:hAnsiTheme="minorHAnsi" w:cstheme="minorBidi"/>
          <w:bCs w:val="0"/>
          <w:kern w:val="0"/>
          <w:szCs w:val="22"/>
          <w:lang w:val="es-PE" w:eastAsia="es-PE"/>
        </w:rPr>
      </w:pPr>
      <w:hyperlink w:anchor="_Toc440563726" w:history="1">
        <w:r w:rsidR="00235275" w:rsidRPr="00897749">
          <w:rPr>
            <w:rStyle w:val="Hipervnculo"/>
          </w:rPr>
          <w:t>Law No. 27649: Modifies Legislative Decree No. 861 – Securities Exchange Act</w:t>
        </w:r>
        <w:r w:rsidR="00235275">
          <w:rPr>
            <w:webHidden/>
          </w:rPr>
          <w:tab/>
        </w:r>
        <w:r>
          <w:rPr>
            <w:webHidden/>
          </w:rPr>
          <w:fldChar w:fldCharType="begin"/>
        </w:r>
        <w:r w:rsidR="00235275">
          <w:rPr>
            <w:webHidden/>
          </w:rPr>
          <w:instrText xml:space="preserve"> PAGEREF _Toc440563726 \h </w:instrText>
        </w:r>
        <w:r>
          <w:rPr>
            <w:webHidden/>
          </w:rPr>
        </w:r>
        <w:r>
          <w:rPr>
            <w:webHidden/>
          </w:rPr>
          <w:fldChar w:fldCharType="separate"/>
        </w:r>
        <w:r w:rsidR="00D40584">
          <w:rPr>
            <w:webHidden/>
          </w:rPr>
          <w:t>12</w:t>
        </w:r>
        <w:r>
          <w:rPr>
            <w:webHidden/>
          </w:rPr>
          <w:fldChar w:fldCharType="end"/>
        </w:r>
      </w:hyperlink>
    </w:p>
    <w:p w:rsidR="00235275" w:rsidRDefault="008648DB">
      <w:pPr>
        <w:pStyle w:val="TDC1"/>
        <w:rPr>
          <w:rFonts w:asciiTheme="minorHAnsi" w:eastAsiaTheme="minorEastAsia" w:hAnsiTheme="minorHAnsi" w:cstheme="minorBidi"/>
          <w:bCs w:val="0"/>
          <w:kern w:val="0"/>
          <w:szCs w:val="22"/>
          <w:lang w:val="es-PE" w:eastAsia="es-PE"/>
        </w:rPr>
      </w:pPr>
      <w:hyperlink w:anchor="_Toc440563727" w:history="1">
        <w:r w:rsidR="00235275" w:rsidRPr="00897749">
          <w:rPr>
            <w:rStyle w:val="Hipervnculo"/>
          </w:rPr>
          <w:t>Law No. 29660: Establishes methods to penalize price manipulation in stock market</w:t>
        </w:r>
        <w:r w:rsidR="00235275">
          <w:rPr>
            <w:webHidden/>
          </w:rPr>
          <w:tab/>
        </w:r>
        <w:r>
          <w:rPr>
            <w:webHidden/>
          </w:rPr>
          <w:fldChar w:fldCharType="begin"/>
        </w:r>
        <w:r w:rsidR="00235275">
          <w:rPr>
            <w:webHidden/>
          </w:rPr>
          <w:instrText xml:space="preserve"> PAGEREF _Toc440563727 \h </w:instrText>
        </w:r>
        <w:r>
          <w:rPr>
            <w:webHidden/>
          </w:rPr>
        </w:r>
        <w:r>
          <w:rPr>
            <w:webHidden/>
          </w:rPr>
          <w:fldChar w:fldCharType="separate"/>
        </w:r>
        <w:r w:rsidR="00D40584">
          <w:rPr>
            <w:webHidden/>
          </w:rPr>
          <w:t>12</w:t>
        </w:r>
        <w:r>
          <w:rPr>
            <w:webHidden/>
          </w:rPr>
          <w:fldChar w:fldCharType="end"/>
        </w:r>
      </w:hyperlink>
    </w:p>
    <w:p w:rsidR="00235275" w:rsidRDefault="008648DB">
      <w:pPr>
        <w:pStyle w:val="TDC1"/>
        <w:rPr>
          <w:rFonts w:asciiTheme="minorHAnsi" w:eastAsiaTheme="minorEastAsia" w:hAnsiTheme="minorHAnsi" w:cstheme="minorBidi"/>
          <w:bCs w:val="0"/>
          <w:kern w:val="0"/>
          <w:szCs w:val="22"/>
          <w:lang w:val="es-PE" w:eastAsia="es-PE"/>
        </w:rPr>
      </w:pPr>
      <w:hyperlink w:anchor="_Toc440563728" w:history="1">
        <w:r w:rsidR="00235275" w:rsidRPr="00897749">
          <w:rPr>
            <w:rStyle w:val="Hipervnculo"/>
          </w:rPr>
          <w:t>Law No. 30050: Stock Market Promotion Law</w:t>
        </w:r>
        <w:r w:rsidR="00235275">
          <w:rPr>
            <w:webHidden/>
          </w:rPr>
          <w:tab/>
        </w:r>
        <w:r>
          <w:rPr>
            <w:webHidden/>
          </w:rPr>
          <w:fldChar w:fldCharType="begin"/>
        </w:r>
        <w:r w:rsidR="00235275">
          <w:rPr>
            <w:webHidden/>
          </w:rPr>
          <w:instrText xml:space="preserve"> PAGEREF _Toc440563728 \h </w:instrText>
        </w:r>
        <w:r>
          <w:rPr>
            <w:webHidden/>
          </w:rPr>
        </w:r>
        <w:r>
          <w:rPr>
            <w:webHidden/>
          </w:rPr>
          <w:fldChar w:fldCharType="separate"/>
        </w:r>
        <w:r w:rsidR="00D40584">
          <w:rPr>
            <w:webHidden/>
          </w:rPr>
          <w:t>12</w:t>
        </w:r>
        <w:r>
          <w:rPr>
            <w:webHidden/>
          </w:rPr>
          <w:fldChar w:fldCharType="end"/>
        </w:r>
      </w:hyperlink>
    </w:p>
    <w:p w:rsidR="00422BC9" w:rsidRDefault="00422BC9">
      <w:pPr>
        <w:pStyle w:val="TDC1"/>
        <w:rPr>
          <w:rStyle w:val="Hipervnculo"/>
        </w:rPr>
      </w:pPr>
    </w:p>
    <w:p w:rsidR="00235275" w:rsidRDefault="00235275">
      <w:pPr>
        <w:pStyle w:val="TDC1"/>
        <w:rPr>
          <w:rFonts w:asciiTheme="minorHAnsi" w:eastAsiaTheme="minorEastAsia" w:hAnsiTheme="minorHAnsi" w:cstheme="minorBidi"/>
          <w:bCs w:val="0"/>
          <w:kern w:val="0"/>
          <w:szCs w:val="22"/>
          <w:lang w:val="es-PE" w:eastAsia="es-PE"/>
        </w:rPr>
      </w:pPr>
    </w:p>
    <w:p w:rsidR="00374673" w:rsidRPr="00C30951" w:rsidRDefault="008648DB" w:rsidP="00C30951">
      <w:pPr>
        <w:pStyle w:val="INDICTAB1"/>
        <w:jc w:val="center"/>
        <w:rPr>
          <w:b/>
        </w:rPr>
      </w:pPr>
      <w:r>
        <w:rPr>
          <w:rFonts w:cs="Arial"/>
          <w:b/>
          <w:sz w:val="22"/>
          <w:szCs w:val="22"/>
          <w:lang w:val="en-US"/>
        </w:rPr>
        <w:fldChar w:fldCharType="end"/>
      </w:r>
      <w:bookmarkStart w:id="0" w:name="LPTOC1"/>
      <w:bookmarkStart w:id="1" w:name="_Toc440444530"/>
      <w:bookmarkStart w:id="2" w:name="_Toc440563152"/>
      <w:bookmarkStart w:id="3" w:name="_Toc440563694"/>
      <w:bookmarkEnd w:id="0"/>
      <w:r w:rsidR="00374673" w:rsidRPr="00C30951">
        <w:rPr>
          <w:b/>
        </w:rPr>
        <w:t>ANNEX I</w:t>
      </w:r>
      <w:bookmarkEnd w:id="1"/>
      <w:bookmarkEnd w:id="2"/>
      <w:bookmarkEnd w:id="3"/>
    </w:p>
    <w:p w:rsidR="00374673" w:rsidRPr="00DA5DD1" w:rsidRDefault="00374673" w:rsidP="003D2209"/>
    <w:p w:rsidR="00374673" w:rsidRPr="00DD2779" w:rsidRDefault="00374673" w:rsidP="00DD2779">
      <w:pPr>
        <w:pStyle w:val="Ttulo1"/>
      </w:pPr>
      <w:bookmarkStart w:id="4" w:name="_Toc440563153"/>
      <w:bookmarkStart w:id="5" w:name="_Toc440563695"/>
      <w:r w:rsidRPr="00DD2779">
        <w:t xml:space="preserve">PROVISIONS NOT INCLUDED IN </w:t>
      </w:r>
      <w:r w:rsidR="00E912A3" w:rsidRPr="00DD2779">
        <w:t xml:space="preserve">THE </w:t>
      </w:r>
      <w:r w:rsidRPr="00DD2779">
        <w:t xml:space="preserve">SECURITIES EXCHANGE ACT </w:t>
      </w:r>
      <w:r w:rsidR="009943F4" w:rsidRPr="00DD2779">
        <w:t>REQUIRING</w:t>
      </w:r>
      <w:r w:rsidRPr="00DD2779">
        <w:t xml:space="preserve"> PREROGATIVE</w:t>
      </w:r>
      <w:r w:rsidR="009943F4" w:rsidRPr="00DD2779">
        <w:t>S</w:t>
      </w:r>
      <w:r w:rsidRPr="00DD2779">
        <w:t xml:space="preserve"> OF THE SUPERINTENDENCE OF SECURITIES</w:t>
      </w:r>
      <w:r w:rsidR="002731A2" w:rsidRPr="00DD2779">
        <w:t xml:space="preserve"> MARKET</w:t>
      </w:r>
      <w:bookmarkEnd w:id="4"/>
      <w:bookmarkEnd w:id="5"/>
    </w:p>
    <w:p w:rsidR="00374673" w:rsidRPr="003D2209" w:rsidRDefault="00374673" w:rsidP="003D2209">
      <w:pPr>
        <w:jc w:val="center"/>
        <w:rPr>
          <w:b/>
        </w:rPr>
      </w:pPr>
    </w:p>
    <w:p w:rsidR="00374673" w:rsidRPr="003D2209" w:rsidRDefault="00374673" w:rsidP="003D2209">
      <w:pPr>
        <w:jc w:val="center"/>
        <w:rPr>
          <w:b/>
        </w:rPr>
      </w:pPr>
    </w:p>
    <w:p w:rsidR="00374673" w:rsidRPr="003D2209" w:rsidRDefault="00374673" w:rsidP="003D2209">
      <w:pPr>
        <w:jc w:val="center"/>
        <w:rPr>
          <w:b/>
        </w:rPr>
      </w:pPr>
      <w:bookmarkStart w:id="6" w:name="_Toc440442471"/>
      <w:bookmarkStart w:id="7" w:name="_Toc440444532"/>
      <w:bookmarkStart w:id="8" w:name="_Toc440563154"/>
      <w:bookmarkStart w:id="9" w:name="_Toc440563696"/>
      <w:r w:rsidRPr="003D2209">
        <w:rPr>
          <w:b/>
        </w:rPr>
        <w:t>Includes</w:t>
      </w:r>
      <w:r w:rsidR="00D61E0E" w:rsidRPr="003D2209">
        <w:rPr>
          <w:b/>
        </w:rPr>
        <w:t xml:space="preserve"> amendments by</w:t>
      </w:r>
      <w:r w:rsidRPr="003D2209">
        <w:rPr>
          <w:b/>
        </w:rPr>
        <w:t>:</w:t>
      </w:r>
      <w:bookmarkEnd w:id="6"/>
      <w:bookmarkEnd w:id="7"/>
      <w:bookmarkEnd w:id="8"/>
      <w:bookmarkEnd w:id="9"/>
    </w:p>
    <w:p w:rsidR="00374673" w:rsidRPr="003D2209" w:rsidRDefault="00374673" w:rsidP="003D2209">
      <w:pPr>
        <w:jc w:val="center"/>
        <w:rPr>
          <w:rFonts w:cs="Arial"/>
          <w:b/>
          <w:lang w:val="en-US"/>
        </w:rPr>
      </w:pPr>
    </w:p>
    <w:p w:rsidR="00374673" w:rsidRPr="003D2209" w:rsidRDefault="00A263CC" w:rsidP="003D2209">
      <w:pPr>
        <w:jc w:val="center"/>
        <w:rPr>
          <w:b/>
        </w:rPr>
      </w:pPr>
      <w:bookmarkStart w:id="10" w:name="_Toc440444533"/>
      <w:bookmarkStart w:id="11" w:name="_Toc440563155"/>
      <w:bookmarkStart w:id="12" w:name="_Toc440563697"/>
      <w:r w:rsidRPr="003D2209">
        <w:rPr>
          <w:b/>
        </w:rPr>
        <w:t>Law</w:t>
      </w:r>
      <w:r w:rsidR="00374673" w:rsidRPr="003D2209">
        <w:rPr>
          <w:b/>
        </w:rPr>
        <w:t xml:space="preserve"> No. 27649 published 23.01.2002</w:t>
      </w:r>
      <w:bookmarkEnd w:id="10"/>
      <w:bookmarkEnd w:id="11"/>
      <w:bookmarkEnd w:id="12"/>
    </w:p>
    <w:p w:rsidR="00374673" w:rsidRPr="003D2209" w:rsidRDefault="00374673" w:rsidP="003D2209">
      <w:pPr>
        <w:jc w:val="center"/>
        <w:rPr>
          <w:b/>
        </w:rPr>
      </w:pPr>
      <w:bookmarkStart w:id="13" w:name="_Toc440444534"/>
      <w:bookmarkStart w:id="14" w:name="_Toc440563156"/>
      <w:bookmarkStart w:id="15" w:name="_Toc440563698"/>
      <w:r w:rsidRPr="003D2209">
        <w:rPr>
          <w:b/>
        </w:rPr>
        <w:t>Legislative Decree No. 1061 published 28.06.2008</w:t>
      </w:r>
      <w:bookmarkEnd w:id="13"/>
      <w:bookmarkEnd w:id="14"/>
      <w:bookmarkEnd w:id="15"/>
    </w:p>
    <w:p w:rsidR="00374673" w:rsidRPr="003D2209" w:rsidRDefault="00A263CC" w:rsidP="003D2209">
      <w:pPr>
        <w:jc w:val="center"/>
        <w:rPr>
          <w:b/>
        </w:rPr>
      </w:pPr>
      <w:bookmarkStart w:id="16" w:name="_Toc440444535"/>
      <w:bookmarkStart w:id="17" w:name="_Toc440563157"/>
      <w:bookmarkStart w:id="18" w:name="_Toc440563699"/>
      <w:r w:rsidRPr="003D2209">
        <w:rPr>
          <w:b/>
        </w:rPr>
        <w:t>Law</w:t>
      </w:r>
      <w:r w:rsidR="00374673" w:rsidRPr="003D2209">
        <w:rPr>
          <w:b/>
        </w:rPr>
        <w:t xml:space="preserve"> No. 29660 published 04.02.2011</w:t>
      </w:r>
      <w:bookmarkEnd w:id="16"/>
      <w:bookmarkEnd w:id="17"/>
      <w:bookmarkEnd w:id="18"/>
    </w:p>
    <w:p w:rsidR="003E6822" w:rsidRPr="003D2209" w:rsidRDefault="003E6822" w:rsidP="003D2209">
      <w:pPr>
        <w:jc w:val="center"/>
        <w:rPr>
          <w:b/>
        </w:rPr>
      </w:pPr>
      <w:bookmarkStart w:id="19" w:name="_Toc440444537"/>
      <w:bookmarkStart w:id="20" w:name="_Toc440563158"/>
      <w:bookmarkStart w:id="21" w:name="_Toc440563700"/>
      <w:r w:rsidRPr="003D2209">
        <w:rPr>
          <w:b/>
        </w:rPr>
        <w:t>Law No. 29720 published 25.06.2011</w:t>
      </w:r>
      <w:bookmarkEnd w:id="19"/>
      <w:bookmarkEnd w:id="20"/>
      <w:bookmarkEnd w:id="21"/>
    </w:p>
    <w:p w:rsidR="00374673" w:rsidRPr="003D2209" w:rsidRDefault="00A263CC" w:rsidP="003D2209">
      <w:pPr>
        <w:jc w:val="center"/>
        <w:rPr>
          <w:b/>
        </w:rPr>
      </w:pPr>
      <w:bookmarkStart w:id="22" w:name="_Toc440444536"/>
      <w:bookmarkStart w:id="23" w:name="_Toc440563159"/>
      <w:bookmarkStart w:id="24" w:name="_Toc440563701"/>
      <w:r w:rsidRPr="003D2209">
        <w:rPr>
          <w:b/>
        </w:rPr>
        <w:t>Law</w:t>
      </w:r>
      <w:r w:rsidR="00374673" w:rsidRPr="003D2209">
        <w:rPr>
          <w:b/>
        </w:rPr>
        <w:t xml:space="preserve"> No. 29782 published 28.07.2011</w:t>
      </w:r>
      <w:bookmarkEnd w:id="22"/>
      <w:bookmarkEnd w:id="23"/>
      <w:bookmarkEnd w:id="24"/>
    </w:p>
    <w:p w:rsidR="00374673" w:rsidRPr="000A58B2" w:rsidRDefault="00374673" w:rsidP="00374673">
      <w:pPr>
        <w:pStyle w:val="Subttulo1"/>
        <w:spacing w:line="360" w:lineRule="auto"/>
        <w:ind w:left="720"/>
        <w:jc w:val="both"/>
        <w:rPr>
          <w:rFonts w:ascii="Arial Narrow" w:hAnsi="Arial Narrow" w:cs="Arial"/>
          <w:color w:val="auto"/>
          <w:sz w:val="22"/>
          <w:szCs w:val="22"/>
          <w:lang w:val="en-US"/>
        </w:rPr>
      </w:pPr>
    </w:p>
    <w:p w:rsidR="00374673" w:rsidRPr="000A58B2" w:rsidRDefault="00374673" w:rsidP="00374673">
      <w:pPr>
        <w:rPr>
          <w:rFonts w:cs="Arial"/>
          <w:szCs w:val="22"/>
          <w:lang w:val="en-US"/>
        </w:rPr>
      </w:pPr>
      <w:r w:rsidRPr="000A58B2">
        <w:rPr>
          <w:rFonts w:cs="Arial"/>
          <w:szCs w:val="22"/>
          <w:lang w:val="en-US"/>
        </w:rPr>
        <w:br w:type="page"/>
      </w:r>
    </w:p>
    <w:p w:rsidR="00E03C30" w:rsidRDefault="00E03C30" w:rsidP="00374673">
      <w:pPr>
        <w:spacing w:before="100" w:beforeAutospacing="1" w:afterAutospacing="1"/>
        <w:rPr>
          <w:szCs w:val="22"/>
          <w:lang w:val="en-US"/>
        </w:rPr>
        <w:sectPr w:rsidR="00E03C30" w:rsidSect="00E03C30">
          <w:headerReference w:type="even" r:id="rId10"/>
          <w:headerReference w:type="default" r:id="rId11"/>
          <w:footerReference w:type="default" r:id="rId12"/>
          <w:headerReference w:type="first" r:id="rId13"/>
          <w:footerReference w:type="first" r:id="rId14"/>
          <w:pgSz w:w="11907" w:h="16840" w:code="9"/>
          <w:pgMar w:top="1418" w:right="1701" w:bottom="1418" w:left="1701" w:header="720" w:footer="720" w:gutter="0"/>
          <w:pgNumType w:start="1"/>
          <w:cols w:space="720"/>
          <w:titlePg/>
        </w:sectPr>
      </w:pPr>
    </w:p>
    <w:p w:rsidR="00374673" w:rsidRPr="000A58B2" w:rsidRDefault="00374673" w:rsidP="00374673">
      <w:pPr>
        <w:spacing w:before="100" w:beforeAutospacing="1" w:afterAutospacing="1"/>
        <w:rPr>
          <w:szCs w:val="22"/>
          <w:lang w:val="en-US"/>
        </w:rPr>
      </w:pPr>
      <w:r w:rsidRPr="000A58B2">
        <w:rPr>
          <w:szCs w:val="22"/>
          <w:lang w:val="en-US"/>
        </w:rPr>
        <w:lastRenderedPageBreak/>
        <w:t>These standards are put forth in chronological order, indicating in each case the law provisions on legislative decrees that elude the Superintendence of Securities</w:t>
      </w:r>
      <w:r w:rsidR="002731A2">
        <w:rPr>
          <w:szCs w:val="22"/>
          <w:lang w:val="en-US"/>
        </w:rPr>
        <w:t xml:space="preserve"> Market</w:t>
      </w:r>
      <w:r w:rsidRPr="000A58B2">
        <w:rPr>
          <w:szCs w:val="22"/>
          <w:lang w:val="en-US"/>
        </w:rPr>
        <w:t>:</w:t>
      </w:r>
    </w:p>
    <w:p w:rsidR="00374673" w:rsidRPr="00596737" w:rsidRDefault="001E5A20" w:rsidP="00DD2779">
      <w:pPr>
        <w:pStyle w:val="Ttulo1"/>
        <w:rPr>
          <w:u w:val="single"/>
        </w:rPr>
      </w:pPr>
      <w:bookmarkStart w:id="25" w:name="_Toc440563160"/>
      <w:bookmarkStart w:id="26" w:name="_Toc440563702"/>
      <w:r w:rsidRPr="00596737">
        <w:rPr>
          <w:u w:val="single"/>
        </w:rPr>
        <w:t>Law No. 27649: Modifies Legislative Decree No. 861, Securities Exchange Act</w:t>
      </w:r>
      <w:bookmarkEnd w:id="25"/>
      <w:bookmarkEnd w:id="26"/>
    </w:p>
    <w:p w:rsidR="00374673" w:rsidRPr="000A58B2" w:rsidRDefault="003D2209" w:rsidP="001E5A20">
      <w:pPr>
        <w:spacing w:before="100" w:beforeAutospacing="1" w:afterAutospacing="1"/>
        <w:jc w:val="left"/>
        <w:rPr>
          <w:rFonts w:cs="Arial"/>
          <w:b/>
          <w:bCs/>
          <w:szCs w:val="22"/>
          <w:lang w:val="en-US"/>
        </w:rPr>
      </w:pPr>
      <w:r>
        <w:rPr>
          <w:rFonts w:cs="Arial"/>
          <w:b/>
          <w:bCs/>
          <w:szCs w:val="22"/>
          <w:lang w:val="en-US"/>
        </w:rPr>
        <w:t>Final a</w:t>
      </w:r>
      <w:r w:rsidRPr="000A58B2">
        <w:rPr>
          <w:rFonts w:cs="Arial"/>
          <w:b/>
          <w:bCs/>
          <w:szCs w:val="22"/>
          <w:lang w:val="en-US"/>
        </w:rPr>
        <w:t>nd Transitional Provisions</w:t>
      </w:r>
    </w:p>
    <w:p w:rsidR="00374673" w:rsidRPr="000A58B2" w:rsidRDefault="00374673" w:rsidP="00374673">
      <w:pPr>
        <w:pStyle w:val="NormalWeb"/>
        <w:jc w:val="both"/>
        <w:rPr>
          <w:rFonts w:ascii="Arial Narrow" w:hAnsi="Arial Narrow" w:cs="Arial"/>
          <w:b/>
          <w:bCs/>
          <w:sz w:val="22"/>
          <w:szCs w:val="22"/>
          <w:lang w:val="en-US"/>
        </w:rPr>
      </w:pPr>
      <w:r w:rsidRPr="000A58B2">
        <w:rPr>
          <w:rFonts w:ascii="Arial Narrow" w:hAnsi="Arial Narrow" w:cs="Arial"/>
          <w:b/>
          <w:bCs/>
          <w:sz w:val="22"/>
          <w:szCs w:val="22"/>
          <w:lang w:val="en-US"/>
        </w:rPr>
        <w:t>SIXTH – Promoting the development of the stock market</w:t>
      </w:r>
    </w:p>
    <w:p w:rsidR="00374673" w:rsidRPr="000A58B2" w:rsidRDefault="00374673" w:rsidP="00374673">
      <w:pPr>
        <w:pStyle w:val="NormalWeb"/>
        <w:jc w:val="both"/>
        <w:rPr>
          <w:rFonts w:ascii="Arial Narrow" w:hAnsi="Arial Narrow"/>
          <w:sz w:val="22"/>
          <w:szCs w:val="22"/>
          <w:lang w:val="en-US"/>
        </w:rPr>
      </w:pPr>
      <w:r w:rsidRPr="009943F4">
        <w:rPr>
          <w:rFonts w:ascii="Arial Narrow" w:hAnsi="Arial Narrow"/>
          <w:sz w:val="22"/>
          <w:szCs w:val="22"/>
          <w:lang w:val="en-US"/>
        </w:rPr>
        <w:t xml:space="preserve">With the goal of promoting the development of the stock market, by means of the supreme decree supported by the Minister of Economics and Finances, they may waive the requirements for </w:t>
      </w:r>
      <w:r w:rsidR="009943F4" w:rsidRPr="009943F4">
        <w:rPr>
          <w:rFonts w:ascii="Arial Narrow" w:hAnsi="Arial Narrow"/>
          <w:sz w:val="22"/>
          <w:szCs w:val="22"/>
          <w:lang w:val="en-US"/>
        </w:rPr>
        <w:t xml:space="preserve">securities </w:t>
      </w:r>
      <w:r w:rsidRPr="009943F4">
        <w:rPr>
          <w:rFonts w:ascii="Arial Narrow" w:hAnsi="Arial Narrow"/>
          <w:sz w:val="22"/>
          <w:szCs w:val="22"/>
          <w:lang w:val="en-US"/>
        </w:rPr>
        <w:t xml:space="preserve"> and prospectus registration in the Public Registry of Securities, and the requirement to have an investment agent, an investment bank or in this case bondholder representatives, in the case that the deadline is short, or the issued amount is not high, or according to the type of value, or the issuer’s</w:t>
      </w:r>
      <w:r w:rsidRPr="000A58B2">
        <w:rPr>
          <w:rFonts w:ascii="Arial Narrow" w:hAnsi="Arial Narrow"/>
          <w:sz w:val="22"/>
          <w:szCs w:val="22"/>
          <w:lang w:val="en-US"/>
        </w:rPr>
        <w:t xml:space="preserve"> characteristics, or the nature of the established warranties, or any other similar circumstance, as long as such requirements are deemed unnecessary or impose unjustifiable costs on stock market finances. </w:t>
      </w:r>
    </w:p>
    <w:p w:rsidR="00374673" w:rsidRPr="000A58B2" w:rsidRDefault="00374673" w:rsidP="00374673">
      <w:pPr>
        <w:pStyle w:val="NormalWeb"/>
        <w:jc w:val="both"/>
        <w:rPr>
          <w:rFonts w:ascii="Arial Narrow" w:hAnsi="Arial Narrow" w:cs="Arial"/>
          <w:b/>
          <w:bCs/>
          <w:sz w:val="22"/>
          <w:szCs w:val="22"/>
          <w:lang w:val="en-US"/>
        </w:rPr>
      </w:pPr>
      <w:r w:rsidRPr="000A58B2">
        <w:rPr>
          <w:rFonts w:ascii="Arial Narrow" w:hAnsi="Arial Narrow" w:cs="Arial"/>
          <w:b/>
          <w:bCs/>
          <w:sz w:val="22"/>
          <w:szCs w:val="22"/>
          <w:lang w:val="en-US"/>
        </w:rPr>
        <w:t>SEVENTH – CONASEV regulation</w:t>
      </w:r>
    </w:p>
    <w:p w:rsidR="00374673" w:rsidRPr="000A58B2" w:rsidRDefault="00374673" w:rsidP="00374673">
      <w:pPr>
        <w:pStyle w:val="NormalWeb"/>
        <w:jc w:val="both"/>
        <w:rPr>
          <w:rFonts w:ascii="Arial Narrow" w:hAnsi="Arial Narrow"/>
          <w:sz w:val="22"/>
          <w:szCs w:val="22"/>
          <w:lang w:val="en-US"/>
        </w:rPr>
      </w:pPr>
      <w:r w:rsidRPr="009943F4">
        <w:rPr>
          <w:rFonts w:ascii="Arial Narrow" w:hAnsi="Arial Narrow"/>
          <w:sz w:val="22"/>
          <w:szCs w:val="22"/>
          <w:lang w:val="en-US"/>
        </w:rPr>
        <w:t>By means of general provisions, and in cases that are not regulated by special laws, CONASEV will regulate the rights of holders of securities offered to the public, if they obtain, from issuers or clerks, information that they deem essential to the</w:t>
      </w:r>
      <w:r w:rsidRPr="000A58B2">
        <w:rPr>
          <w:rFonts w:ascii="Arial Narrow" w:hAnsi="Arial Narrow"/>
          <w:sz w:val="22"/>
          <w:szCs w:val="22"/>
          <w:lang w:val="en-US"/>
        </w:rPr>
        <w:t xml:space="preserve"> defense of their rights are investors. </w:t>
      </w:r>
    </w:p>
    <w:p w:rsidR="00374673" w:rsidRPr="000A58B2" w:rsidRDefault="00374673" w:rsidP="00374673">
      <w:pPr>
        <w:pStyle w:val="NormalWeb"/>
        <w:jc w:val="both"/>
        <w:rPr>
          <w:rFonts w:ascii="Arial Narrow" w:hAnsi="Arial Narrow"/>
          <w:sz w:val="22"/>
          <w:szCs w:val="22"/>
          <w:lang w:val="en-US"/>
        </w:rPr>
      </w:pPr>
      <w:r w:rsidRPr="000A58B2">
        <w:rPr>
          <w:rFonts w:ascii="Arial Narrow" w:hAnsi="Arial Narrow"/>
          <w:sz w:val="22"/>
          <w:szCs w:val="22"/>
          <w:lang w:val="en-US"/>
        </w:rPr>
        <w:t xml:space="preserve">At the same time, for those cases that are not regulated by special laws, CONASEV may be able to regulate convocations made by issuers of the aforementioned Public Institution, in the case that it is requested by investors holding securities that are offered to the public, with the intention of taking actions that will defend their rights. </w:t>
      </w:r>
    </w:p>
    <w:p w:rsidR="00374673" w:rsidRPr="009943F4" w:rsidRDefault="00374673" w:rsidP="00374673">
      <w:pPr>
        <w:pStyle w:val="NormalWeb"/>
        <w:jc w:val="both"/>
        <w:rPr>
          <w:rFonts w:ascii="Arial Narrow" w:hAnsi="Arial Narrow"/>
          <w:sz w:val="22"/>
          <w:szCs w:val="22"/>
          <w:lang w:val="en-US"/>
        </w:rPr>
      </w:pPr>
      <w:r w:rsidRPr="009943F4">
        <w:rPr>
          <w:rFonts w:ascii="Arial Narrow" w:hAnsi="Arial Narrow"/>
          <w:sz w:val="22"/>
          <w:szCs w:val="22"/>
          <w:lang w:val="en-US"/>
        </w:rPr>
        <w:t xml:space="preserve">CONASEV will regulate matters related to the </w:t>
      </w:r>
      <w:r w:rsidR="009943F4">
        <w:rPr>
          <w:rFonts w:ascii="Arial Narrow" w:hAnsi="Arial Narrow"/>
          <w:sz w:val="22"/>
          <w:szCs w:val="22"/>
          <w:lang w:val="en-US"/>
        </w:rPr>
        <w:t>titles</w:t>
      </w:r>
      <w:r w:rsidRPr="009943F4">
        <w:rPr>
          <w:rFonts w:ascii="Arial Narrow" w:hAnsi="Arial Narrow"/>
          <w:sz w:val="22"/>
          <w:szCs w:val="22"/>
          <w:lang w:val="en-US"/>
        </w:rPr>
        <w:t xml:space="preserve"> under the General Corporation Law – Law No. 26887 – with respects to open stock companies.</w:t>
      </w:r>
    </w:p>
    <w:p w:rsidR="00374673" w:rsidRPr="000A58B2" w:rsidRDefault="00374673" w:rsidP="00374673">
      <w:pPr>
        <w:pStyle w:val="NormalWeb"/>
        <w:jc w:val="both"/>
        <w:rPr>
          <w:rFonts w:ascii="Arial Narrow" w:hAnsi="Arial Narrow" w:cs="Arial"/>
          <w:b/>
          <w:bCs/>
          <w:sz w:val="22"/>
          <w:szCs w:val="22"/>
          <w:lang w:val="en-US"/>
        </w:rPr>
      </w:pPr>
      <w:r w:rsidRPr="009943F4">
        <w:rPr>
          <w:rFonts w:ascii="Arial Narrow" w:hAnsi="Arial Narrow" w:cs="Arial"/>
          <w:b/>
          <w:bCs/>
          <w:sz w:val="22"/>
          <w:szCs w:val="22"/>
          <w:lang w:val="en-US"/>
        </w:rPr>
        <w:t>EIGTH –Approval of warranty amounts</w:t>
      </w:r>
    </w:p>
    <w:p w:rsidR="00374673" w:rsidRPr="000A58B2" w:rsidRDefault="00374673" w:rsidP="00374673">
      <w:pPr>
        <w:pStyle w:val="NormalWeb"/>
        <w:jc w:val="both"/>
        <w:rPr>
          <w:rFonts w:ascii="Arial Narrow" w:hAnsi="Arial Narrow"/>
          <w:sz w:val="22"/>
          <w:szCs w:val="22"/>
          <w:lang w:val="en-US"/>
        </w:rPr>
      </w:pPr>
      <w:r w:rsidRPr="009943F4">
        <w:rPr>
          <w:rFonts w:ascii="Arial Narrow" w:hAnsi="Arial Narrow"/>
          <w:sz w:val="22"/>
          <w:szCs w:val="22"/>
          <w:lang w:val="en-US"/>
        </w:rPr>
        <w:t>CONASEV, in spite of the requirements of Article 136 of the Securities Exchange Act, and by means of general provisions will be able to order additional warranties on behalf of broker agents and the transactions they carry out.</w:t>
      </w:r>
    </w:p>
    <w:p w:rsidR="00374673" w:rsidRPr="00596737" w:rsidRDefault="009F1CD6" w:rsidP="00DD2779">
      <w:pPr>
        <w:pStyle w:val="Ttulo1"/>
        <w:rPr>
          <w:u w:val="single"/>
        </w:rPr>
      </w:pPr>
      <w:bookmarkStart w:id="27" w:name="_Toc440563161"/>
      <w:bookmarkStart w:id="28" w:name="_Toc440563703"/>
      <w:r w:rsidRPr="00596737">
        <w:rPr>
          <w:u w:val="single"/>
        </w:rPr>
        <w:t xml:space="preserve">Legislative Decree No. 1061: Approves Modifications </w:t>
      </w:r>
      <w:proofErr w:type="gramStart"/>
      <w:r w:rsidRPr="00596737">
        <w:rPr>
          <w:u w:val="single"/>
        </w:rPr>
        <w:t>To</w:t>
      </w:r>
      <w:proofErr w:type="gramEnd"/>
      <w:r w:rsidRPr="00596737">
        <w:rPr>
          <w:u w:val="single"/>
        </w:rPr>
        <w:t xml:space="preserve"> Securities Exchange Act, Legislative </w:t>
      </w:r>
      <w:r w:rsidR="003D2209" w:rsidRPr="00596737">
        <w:rPr>
          <w:u w:val="single"/>
        </w:rPr>
        <w:t>Decree No. 861</w:t>
      </w:r>
      <w:bookmarkEnd w:id="27"/>
      <w:bookmarkEnd w:id="28"/>
    </w:p>
    <w:p w:rsidR="00374673" w:rsidRPr="000A58B2" w:rsidRDefault="003D2209" w:rsidP="009F1CD6">
      <w:pPr>
        <w:spacing w:before="100" w:beforeAutospacing="1" w:afterAutospacing="1"/>
        <w:jc w:val="left"/>
        <w:rPr>
          <w:rFonts w:cs="Arial"/>
          <w:b/>
          <w:bCs/>
          <w:szCs w:val="22"/>
          <w:lang w:val="en-US"/>
        </w:rPr>
      </w:pPr>
      <w:r w:rsidRPr="000A58B2">
        <w:rPr>
          <w:rFonts w:cs="Arial"/>
          <w:b/>
          <w:bCs/>
          <w:szCs w:val="22"/>
          <w:lang w:val="en-US"/>
        </w:rPr>
        <w:t>Final Complementary Provisions</w:t>
      </w:r>
    </w:p>
    <w:p w:rsidR="00374673" w:rsidRPr="000A58B2" w:rsidRDefault="00374673" w:rsidP="00374673">
      <w:pPr>
        <w:spacing w:before="100" w:beforeAutospacing="1" w:afterAutospacing="1"/>
        <w:rPr>
          <w:rFonts w:cs="Arial"/>
          <w:b/>
          <w:bCs/>
          <w:szCs w:val="22"/>
          <w:lang w:val="en-US"/>
        </w:rPr>
      </w:pPr>
      <w:r w:rsidRPr="000A58B2">
        <w:rPr>
          <w:rFonts w:cs="Arial"/>
          <w:b/>
          <w:bCs/>
          <w:szCs w:val="22"/>
          <w:lang w:val="en-US"/>
        </w:rPr>
        <w:t>SECOND – Trading foreign securities</w:t>
      </w:r>
    </w:p>
    <w:p w:rsidR="00374673" w:rsidRPr="000A58B2" w:rsidRDefault="00374673" w:rsidP="00374673">
      <w:pPr>
        <w:spacing w:before="100" w:beforeAutospacing="1" w:afterAutospacing="1"/>
        <w:rPr>
          <w:rFonts w:cs="Arial"/>
          <w:szCs w:val="22"/>
          <w:lang w:val="en-US"/>
        </w:rPr>
      </w:pPr>
      <w:r w:rsidRPr="000A58B2">
        <w:rPr>
          <w:rFonts w:cs="Arial"/>
          <w:szCs w:val="22"/>
          <w:lang w:val="en-US"/>
        </w:rPr>
        <w:t xml:space="preserve">In order to facilitate stock integration, and the simultaneous trading of securities between one or more stocks, domestic or foreign, CONASEV will be able to exempt foreign securities from registering into the Public Registry of Securities and from any other </w:t>
      </w:r>
      <w:r w:rsidRPr="009943F4">
        <w:rPr>
          <w:rFonts w:cs="Arial"/>
          <w:szCs w:val="22"/>
          <w:lang w:val="en-US"/>
        </w:rPr>
        <w:t>obligation or requirement stated under this law, so long as agreements between the entities responsible for this negotiation are mediated, and as long as they comply with the other conditions that CONASEV deems a general rule.</w:t>
      </w:r>
    </w:p>
    <w:p w:rsidR="00374673" w:rsidRPr="000A58B2" w:rsidRDefault="00374673" w:rsidP="00374673">
      <w:pPr>
        <w:pStyle w:val="NormalWeb"/>
        <w:jc w:val="both"/>
        <w:rPr>
          <w:rFonts w:ascii="Arial Narrow" w:hAnsi="Arial Narrow" w:cs="Arial"/>
          <w:b/>
          <w:sz w:val="22"/>
          <w:szCs w:val="22"/>
          <w:lang w:val="en-US"/>
        </w:rPr>
      </w:pPr>
      <w:r w:rsidRPr="000A58B2">
        <w:rPr>
          <w:rFonts w:ascii="Arial Narrow" w:hAnsi="Arial Narrow" w:cs="Arial"/>
          <w:b/>
          <w:sz w:val="22"/>
          <w:szCs w:val="22"/>
          <w:lang w:val="en-US"/>
        </w:rPr>
        <w:t>THIRD – Promoting the development of the stock market (*)</w:t>
      </w:r>
    </w:p>
    <w:p w:rsidR="00374673" w:rsidRPr="000A58B2" w:rsidRDefault="00374673" w:rsidP="00374673">
      <w:pPr>
        <w:pStyle w:val="NormalWeb"/>
        <w:jc w:val="both"/>
        <w:rPr>
          <w:rFonts w:ascii="Arial Narrow" w:hAnsi="Arial Narrow" w:cs="Arial"/>
          <w:sz w:val="22"/>
          <w:szCs w:val="22"/>
          <w:lang w:val="en-US"/>
        </w:rPr>
      </w:pPr>
      <w:r w:rsidRPr="000A58B2">
        <w:rPr>
          <w:rFonts w:ascii="Arial Narrow" w:hAnsi="Arial Narrow" w:cs="Arial"/>
          <w:sz w:val="22"/>
          <w:szCs w:val="22"/>
          <w:lang w:val="en-US"/>
        </w:rPr>
        <w:lastRenderedPageBreak/>
        <w:t xml:space="preserve">With the purpose of promoting the entry of the stock market into new companies, preferably small and medium ones, the Superintendence of Securities </w:t>
      </w:r>
      <w:r w:rsidR="002731A2">
        <w:rPr>
          <w:rFonts w:ascii="Arial Narrow" w:hAnsi="Arial Narrow" w:cs="Arial"/>
          <w:sz w:val="22"/>
          <w:szCs w:val="22"/>
          <w:lang w:val="en-US"/>
        </w:rPr>
        <w:t xml:space="preserve">Market </w:t>
      </w:r>
      <w:r w:rsidRPr="000A58B2">
        <w:rPr>
          <w:rFonts w:ascii="Arial Narrow" w:hAnsi="Arial Narrow" w:cs="Arial"/>
          <w:sz w:val="22"/>
          <w:szCs w:val="22"/>
          <w:lang w:val="en-US"/>
        </w:rPr>
        <w:t>has the power to approve, by means of general rule, a special IPO where the following can be established:</w:t>
      </w:r>
    </w:p>
    <w:p w:rsidR="00374673" w:rsidRPr="000A58B2" w:rsidRDefault="00374673" w:rsidP="001D57D6">
      <w:pPr>
        <w:pStyle w:val="NormalWeb"/>
        <w:numPr>
          <w:ilvl w:val="0"/>
          <w:numId w:val="4"/>
        </w:numPr>
        <w:jc w:val="both"/>
        <w:rPr>
          <w:rFonts w:ascii="Arial Narrow" w:hAnsi="Arial Narrow" w:cs="Arial"/>
          <w:sz w:val="22"/>
          <w:szCs w:val="22"/>
          <w:lang w:val="en-US"/>
        </w:rPr>
      </w:pPr>
      <w:r w:rsidRPr="000A58B2">
        <w:rPr>
          <w:rFonts w:ascii="Arial Narrow" w:hAnsi="Arial Narrow" w:cs="Arial"/>
          <w:sz w:val="22"/>
          <w:szCs w:val="22"/>
          <w:lang w:val="en-US"/>
        </w:rPr>
        <w:t>Minor requirement for the registration and formulation of an offer</w:t>
      </w:r>
    </w:p>
    <w:p w:rsidR="00374673" w:rsidRPr="000A58B2" w:rsidRDefault="00374673" w:rsidP="001D57D6">
      <w:pPr>
        <w:pStyle w:val="NormalWeb"/>
        <w:numPr>
          <w:ilvl w:val="0"/>
          <w:numId w:val="4"/>
        </w:numPr>
        <w:jc w:val="both"/>
        <w:rPr>
          <w:rFonts w:ascii="Arial Narrow" w:hAnsi="Arial Narrow" w:cs="Arial"/>
          <w:sz w:val="22"/>
          <w:szCs w:val="22"/>
          <w:lang w:val="en-US"/>
        </w:rPr>
      </w:pPr>
      <w:r w:rsidRPr="000A58B2">
        <w:rPr>
          <w:rFonts w:ascii="Arial Narrow" w:hAnsi="Arial Narrow" w:cs="Arial"/>
          <w:sz w:val="22"/>
          <w:szCs w:val="22"/>
          <w:lang w:val="en-US"/>
        </w:rPr>
        <w:t>Minor information requirements during and after the offer is complete; and</w:t>
      </w:r>
    </w:p>
    <w:p w:rsidR="00374673" w:rsidRPr="000A58B2" w:rsidRDefault="00374673" w:rsidP="001D57D6">
      <w:pPr>
        <w:pStyle w:val="NormalWeb"/>
        <w:numPr>
          <w:ilvl w:val="0"/>
          <w:numId w:val="4"/>
        </w:numPr>
        <w:jc w:val="both"/>
        <w:rPr>
          <w:rFonts w:ascii="Arial Narrow" w:hAnsi="Arial Narrow" w:cs="Arial"/>
          <w:sz w:val="22"/>
          <w:szCs w:val="22"/>
          <w:lang w:val="en-US"/>
        </w:rPr>
      </w:pPr>
      <w:r w:rsidRPr="000A58B2">
        <w:rPr>
          <w:rFonts w:ascii="Arial Narrow" w:hAnsi="Arial Narrow" w:cs="Arial"/>
          <w:sz w:val="22"/>
          <w:szCs w:val="22"/>
          <w:lang w:val="en-US"/>
        </w:rPr>
        <w:t>Sanctioning</w:t>
      </w:r>
    </w:p>
    <w:p w:rsidR="00374673" w:rsidRPr="000A58B2" w:rsidRDefault="00374673" w:rsidP="00374673">
      <w:pPr>
        <w:pStyle w:val="NormalWeb"/>
        <w:jc w:val="both"/>
        <w:rPr>
          <w:rFonts w:ascii="Arial Narrow" w:hAnsi="Arial Narrow" w:cs="Arial"/>
          <w:sz w:val="22"/>
          <w:szCs w:val="22"/>
          <w:lang w:val="en-US"/>
        </w:rPr>
      </w:pPr>
      <w:r w:rsidRPr="000A58B2">
        <w:rPr>
          <w:rFonts w:ascii="Arial Narrow" w:hAnsi="Arial Narrow" w:cs="Arial"/>
          <w:sz w:val="22"/>
          <w:szCs w:val="22"/>
          <w:lang w:val="en-US"/>
        </w:rPr>
        <w:t xml:space="preserve">The SMV also has the power to exempt these offers from complying with any obligation or condition stated in Legislative Decree 861, Securities Exchange Act; in Legislative Decree 861, Investments Funds Acts and its Administrative Companies; and </w:t>
      </w:r>
      <w:r w:rsidR="00A263CC">
        <w:rPr>
          <w:rFonts w:ascii="Arial Narrow" w:hAnsi="Arial Narrow" w:cs="Arial"/>
          <w:sz w:val="22"/>
          <w:szCs w:val="22"/>
          <w:lang w:val="en-US"/>
        </w:rPr>
        <w:t>Law</w:t>
      </w:r>
      <w:r w:rsidRPr="000A58B2">
        <w:rPr>
          <w:rFonts w:ascii="Arial Narrow" w:hAnsi="Arial Narrow" w:cs="Arial"/>
          <w:sz w:val="22"/>
          <w:szCs w:val="22"/>
          <w:lang w:val="en-US"/>
        </w:rPr>
        <w:t xml:space="preserve"> 26887, General Corporation Law.</w:t>
      </w:r>
    </w:p>
    <w:p w:rsidR="00374673" w:rsidRPr="000A58B2" w:rsidRDefault="00374673" w:rsidP="00374673">
      <w:pPr>
        <w:spacing w:before="100" w:beforeAutospacing="1" w:afterAutospacing="1"/>
        <w:rPr>
          <w:bCs/>
          <w:sz w:val="18"/>
          <w:szCs w:val="18"/>
          <w:lang w:val="en-US"/>
        </w:rPr>
      </w:pPr>
      <w:r w:rsidRPr="000A58B2">
        <w:rPr>
          <w:bCs/>
          <w:sz w:val="18"/>
          <w:szCs w:val="18"/>
          <w:lang w:val="en-US"/>
        </w:rPr>
        <w:t xml:space="preserve"> (*) Provision modified by Article 3 of </w:t>
      </w:r>
      <w:r w:rsidR="00A263CC">
        <w:rPr>
          <w:bCs/>
          <w:sz w:val="18"/>
          <w:szCs w:val="18"/>
          <w:lang w:val="en-US"/>
        </w:rPr>
        <w:t>Law</w:t>
      </w:r>
      <w:r w:rsidRPr="000A58B2">
        <w:rPr>
          <w:bCs/>
          <w:sz w:val="18"/>
          <w:szCs w:val="18"/>
          <w:lang w:val="en-US"/>
        </w:rPr>
        <w:t xml:space="preserve"> No. 30050.</w:t>
      </w:r>
    </w:p>
    <w:p w:rsidR="00E93395" w:rsidRDefault="00E93395" w:rsidP="003D2209"/>
    <w:p w:rsidR="00374673" w:rsidRPr="00596737" w:rsidRDefault="009F1CD6" w:rsidP="00DD2779">
      <w:pPr>
        <w:pStyle w:val="Ttulo1"/>
        <w:rPr>
          <w:u w:val="single"/>
        </w:rPr>
      </w:pPr>
      <w:bookmarkStart w:id="29" w:name="_Toc440563162"/>
      <w:bookmarkStart w:id="30" w:name="_Toc440563704"/>
      <w:r w:rsidRPr="00596737">
        <w:rPr>
          <w:u w:val="single"/>
        </w:rPr>
        <w:t xml:space="preserve">Law No. 29660: Establishes Measures </w:t>
      </w:r>
      <w:proofErr w:type="gramStart"/>
      <w:r w:rsidRPr="00596737">
        <w:rPr>
          <w:u w:val="single"/>
        </w:rPr>
        <w:t>To</w:t>
      </w:r>
      <w:proofErr w:type="gramEnd"/>
      <w:r w:rsidRPr="00596737">
        <w:rPr>
          <w:u w:val="single"/>
        </w:rPr>
        <w:t xml:space="preserve"> Sanction Price Manipulation In The Stock Market</w:t>
      </w:r>
      <w:bookmarkEnd w:id="29"/>
      <w:bookmarkEnd w:id="30"/>
    </w:p>
    <w:p w:rsidR="00596737" w:rsidRPr="000A58B2" w:rsidRDefault="00596737" w:rsidP="00596737">
      <w:pPr>
        <w:pStyle w:val="NormalWeb"/>
        <w:rPr>
          <w:rFonts w:ascii="Arial Narrow" w:hAnsi="Arial Narrow"/>
          <w:b/>
          <w:bCs/>
          <w:sz w:val="22"/>
          <w:szCs w:val="22"/>
          <w:lang w:val="en-US"/>
        </w:rPr>
      </w:pPr>
      <w:bookmarkStart w:id="31" w:name="JD_L29660-DCF"/>
      <w:bookmarkEnd w:id="31"/>
      <w:r w:rsidRPr="000A58B2">
        <w:rPr>
          <w:rFonts w:ascii="Arial Narrow" w:hAnsi="Arial Narrow"/>
          <w:b/>
          <w:bCs/>
          <w:sz w:val="22"/>
          <w:szCs w:val="22"/>
          <w:lang w:val="en-US"/>
        </w:rPr>
        <w:t>F</w:t>
      </w:r>
      <w:r>
        <w:rPr>
          <w:rFonts w:ascii="Arial Narrow" w:hAnsi="Arial Narrow"/>
          <w:b/>
          <w:bCs/>
          <w:sz w:val="22"/>
          <w:szCs w:val="22"/>
          <w:lang w:val="en-US"/>
        </w:rPr>
        <w:t>inal Complementary Provisions</w:t>
      </w:r>
    </w:p>
    <w:p w:rsidR="00374673" w:rsidRPr="000A58B2" w:rsidRDefault="00596737" w:rsidP="00374673">
      <w:pPr>
        <w:spacing w:before="100" w:beforeAutospacing="1" w:afterAutospacing="1"/>
        <w:rPr>
          <w:rFonts w:cs="Arial"/>
          <w:b/>
          <w:bCs/>
          <w:szCs w:val="22"/>
          <w:lang w:val="en-US"/>
        </w:rPr>
      </w:pPr>
      <w:r>
        <w:rPr>
          <w:rFonts w:cs="Arial"/>
          <w:b/>
          <w:bCs/>
          <w:szCs w:val="22"/>
          <w:lang w:val="en-US"/>
        </w:rPr>
        <w:t>ONLY</w:t>
      </w:r>
      <w:r w:rsidR="00374673" w:rsidRPr="000A58B2">
        <w:rPr>
          <w:rFonts w:cs="Arial"/>
          <w:b/>
          <w:bCs/>
          <w:szCs w:val="22"/>
          <w:lang w:val="en-US"/>
        </w:rPr>
        <w:t xml:space="preserve"> – Spreading of false or misleading information via the Internet</w:t>
      </w:r>
    </w:p>
    <w:p w:rsidR="00374673" w:rsidRDefault="00374673" w:rsidP="00626CEB">
      <w:pPr>
        <w:rPr>
          <w:lang w:val="en-US"/>
        </w:rPr>
      </w:pPr>
      <w:r w:rsidRPr="000A58B2">
        <w:rPr>
          <w:lang w:val="en-US"/>
        </w:rPr>
        <w:t xml:space="preserve">In the </w:t>
      </w:r>
      <w:r w:rsidRPr="009943F4">
        <w:rPr>
          <w:lang w:val="en-US"/>
        </w:rPr>
        <w:t>case that the Internet was used for the purpose set forth in subsection c) of article 12 of the Consolidated Text in the Securities Exchange Act, approved by Supreme Decree No. 093-2002-EF, the National Supervisory Committee</w:t>
      </w:r>
      <w:r w:rsidRPr="000A58B2">
        <w:rPr>
          <w:lang w:val="en-US"/>
        </w:rPr>
        <w:t xml:space="preserve"> of Companies and Securities (CONASEV), by means of a judge, can request that the administrator of the respective webpage provide information that will help identify the person that released false or misleading information. The judge must reach a decision within ten (10) days.</w:t>
      </w:r>
    </w:p>
    <w:p w:rsidR="00E93395" w:rsidRDefault="00E93395" w:rsidP="003D2209"/>
    <w:p w:rsidR="00E93395" w:rsidRPr="00596737" w:rsidRDefault="00E93395" w:rsidP="00DD2779">
      <w:pPr>
        <w:pStyle w:val="Ttulo1"/>
        <w:rPr>
          <w:u w:val="single"/>
        </w:rPr>
      </w:pPr>
      <w:bookmarkStart w:id="32" w:name="_Toc440563163"/>
      <w:bookmarkStart w:id="33" w:name="_Toc440563705"/>
      <w:r w:rsidRPr="00596737">
        <w:rPr>
          <w:u w:val="single"/>
        </w:rPr>
        <w:t>Law No. 29720: Promotes transferable securities and strengthens capital markets</w:t>
      </w:r>
      <w:bookmarkEnd w:id="32"/>
      <w:bookmarkEnd w:id="33"/>
    </w:p>
    <w:p w:rsidR="00E93395" w:rsidRPr="000A58B2" w:rsidRDefault="00E93395" w:rsidP="00E93395">
      <w:pPr>
        <w:spacing w:before="100" w:beforeAutospacing="1" w:afterAutospacing="1"/>
        <w:rPr>
          <w:rFonts w:cs="Arial"/>
          <w:b/>
          <w:bCs/>
          <w:szCs w:val="22"/>
          <w:lang w:val="en-US"/>
        </w:rPr>
      </w:pPr>
      <w:proofErr w:type="gramStart"/>
      <w:r w:rsidRPr="000A58B2">
        <w:rPr>
          <w:rFonts w:cs="Arial"/>
          <w:b/>
          <w:bCs/>
          <w:szCs w:val="22"/>
          <w:lang w:val="en-US"/>
        </w:rPr>
        <w:t>Article 5.</w:t>
      </w:r>
      <w:proofErr w:type="gramEnd"/>
      <w:r w:rsidRPr="000A58B2">
        <w:rPr>
          <w:rFonts w:cs="Arial"/>
          <w:b/>
          <w:bCs/>
          <w:szCs w:val="22"/>
          <w:lang w:val="en-US"/>
        </w:rPr>
        <w:t xml:space="preserve"> Publishing financial information of unsupervised companies</w:t>
      </w:r>
    </w:p>
    <w:p w:rsidR="00E93395" w:rsidRPr="000A58B2" w:rsidRDefault="00E93395" w:rsidP="00E93395">
      <w:pPr>
        <w:spacing w:before="100" w:beforeAutospacing="1" w:afterAutospacing="1"/>
        <w:rPr>
          <w:rFonts w:cs="Arial"/>
          <w:szCs w:val="22"/>
          <w:lang w:val="en-US"/>
        </w:rPr>
      </w:pPr>
      <w:r w:rsidRPr="000A58B2">
        <w:rPr>
          <w:rFonts w:cs="Arial"/>
          <w:szCs w:val="22"/>
          <w:lang w:val="en-US"/>
        </w:rPr>
        <w:t xml:space="preserve">Societies or entities that are not under </w:t>
      </w:r>
      <w:r>
        <w:rPr>
          <w:rFonts w:cs="Arial"/>
          <w:szCs w:val="22"/>
          <w:lang w:val="en-US"/>
        </w:rPr>
        <w:t>CONASEV</w:t>
      </w:r>
      <w:r w:rsidRPr="000A58B2">
        <w:rPr>
          <w:rFonts w:cs="Arial"/>
          <w:szCs w:val="22"/>
          <w:lang w:val="en-US"/>
        </w:rPr>
        <w:t xml:space="preserve">’s supervision, and whose annual income via the sales of goods and services, or whose total assets are equal to or higher than three thousand Tax Units, must present to said entity their financial statements and these must be audited by an audit firm with public accountants in Peru, according to the international rules of </w:t>
      </w:r>
      <w:r w:rsidRPr="009943F4">
        <w:rPr>
          <w:rFonts w:cs="Arial"/>
          <w:szCs w:val="22"/>
          <w:lang w:val="en-US"/>
        </w:rPr>
        <w:t xml:space="preserve">financial information, and subjecting themselves to the provisions and terms that CONASEV determines. </w:t>
      </w:r>
      <w:r>
        <w:rPr>
          <w:rFonts w:cs="Arial"/>
          <w:szCs w:val="22"/>
          <w:lang w:val="en-US"/>
        </w:rPr>
        <w:t xml:space="preserve">The Tax Unit reference </w:t>
      </w:r>
      <w:r w:rsidRPr="009943F4">
        <w:rPr>
          <w:rFonts w:cs="Arial"/>
          <w:szCs w:val="22"/>
          <w:lang w:val="en-US"/>
        </w:rPr>
        <w:t xml:space="preserve">comes </w:t>
      </w:r>
      <w:r>
        <w:rPr>
          <w:rFonts w:cs="Arial"/>
          <w:szCs w:val="22"/>
          <w:lang w:val="en-US"/>
        </w:rPr>
        <w:t>into full force on</w:t>
      </w:r>
      <w:r w:rsidRPr="009943F4">
        <w:rPr>
          <w:rFonts w:cs="Arial"/>
          <w:szCs w:val="22"/>
          <w:lang w:val="en-US"/>
        </w:rPr>
        <w:t xml:space="preserve"> the first of January</w:t>
      </w:r>
      <w:r>
        <w:rPr>
          <w:rFonts w:cs="Arial"/>
          <w:szCs w:val="22"/>
          <w:lang w:val="en-US"/>
        </w:rPr>
        <w:t xml:space="preserve"> of each financial year</w:t>
      </w:r>
    </w:p>
    <w:p w:rsidR="00E93395" w:rsidRPr="000A58B2" w:rsidRDefault="00E93395" w:rsidP="00E93395">
      <w:pPr>
        <w:spacing w:before="100" w:beforeAutospacing="1" w:afterAutospacing="1"/>
        <w:rPr>
          <w:rFonts w:cs="Arial"/>
          <w:szCs w:val="22"/>
          <w:lang w:val="en-US"/>
        </w:rPr>
      </w:pPr>
      <w:r w:rsidRPr="000A58B2">
        <w:rPr>
          <w:rFonts w:cs="Arial"/>
          <w:szCs w:val="22"/>
          <w:lang w:val="en-US"/>
        </w:rPr>
        <w:t>The financial statements presented are accessible to the public.</w:t>
      </w:r>
    </w:p>
    <w:p w:rsidR="00E93395" w:rsidRPr="000A58B2" w:rsidRDefault="00E93395" w:rsidP="00E93395">
      <w:pPr>
        <w:spacing w:before="100" w:beforeAutospacing="1" w:afterAutospacing="1"/>
        <w:rPr>
          <w:rFonts w:cs="Arial"/>
          <w:szCs w:val="22"/>
          <w:lang w:val="en-US"/>
        </w:rPr>
      </w:pPr>
      <w:r w:rsidRPr="000A58B2">
        <w:rPr>
          <w:rFonts w:cs="Arial"/>
          <w:szCs w:val="22"/>
          <w:lang w:val="en-US"/>
        </w:rPr>
        <w:t xml:space="preserve">If </w:t>
      </w:r>
      <w:r>
        <w:rPr>
          <w:rFonts w:cs="Arial"/>
          <w:szCs w:val="22"/>
          <w:lang w:val="en-US"/>
        </w:rPr>
        <w:t>CONASEV</w:t>
      </w:r>
      <w:r w:rsidRPr="000A58B2">
        <w:rPr>
          <w:rFonts w:cs="Arial"/>
          <w:szCs w:val="22"/>
          <w:lang w:val="en-US"/>
        </w:rPr>
        <w:t xml:space="preserve"> determines that any of the entities or societies mentioned in this article </w:t>
      </w:r>
      <w:proofErr w:type="gramStart"/>
      <w:r w:rsidRPr="000A58B2">
        <w:rPr>
          <w:rFonts w:cs="Arial"/>
          <w:szCs w:val="22"/>
          <w:lang w:val="en-US"/>
        </w:rPr>
        <w:t>do</w:t>
      </w:r>
      <w:proofErr w:type="gramEnd"/>
      <w:r w:rsidRPr="000A58B2">
        <w:rPr>
          <w:rFonts w:cs="Arial"/>
          <w:szCs w:val="22"/>
          <w:lang w:val="en-US"/>
        </w:rPr>
        <w:t xml:space="preserve"> not comply with the requirement to present their annual financial statements, it can impose reasonable and proportional administrative financial sanctions of no less than one and no more than twenty-five Tax Units.</w:t>
      </w:r>
    </w:p>
    <w:p w:rsidR="00E93395" w:rsidRDefault="00E93395" w:rsidP="00E93395">
      <w:pPr>
        <w:tabs>
          <w:tab w:val="clear" w:pos="1531"/>
        </w:tabs>
        <w:spacing w:after="200" w:line="276" w:lineRule="auto"/>
        <w:jc w:val="left"/>
        <w:rPr>
          <w:rFonts w:cs="Arial"/>
          <w:b/>
          <w:snapToGrid w:val="0"/>
          <w:sz w:val="28"/>
          <w:szCs w:val="22"/>
          <w:lang w:val="en-US"/>
        </w:rPr>
      </w:pPr>
      <w:r>
        <w:rPr>
          <w:rFonts w:cs="Arial"/>
          <w:sz w:val="28"/>
          <w:szCs w:val="22"/>
          <w:lang w:val="en-US"/>
        </w:rPr>
        <w:br w:type="page"/>
      </w:r>
    </w:p>
    <w:p w:rsidR="00626CEB" w:rsidRPr="00626CEB" w:rsidRDefault="00626CEB" w:rsidP="00626CEB">
      <w:pPr>
        <w:rPr>
          <w:b/>
          <w:lang w:val="en-US"/>
        </w:rPr>
      </w:pPr>
    </w:p>
    <w:p w:rsidR="00374673" w:rsidRPr="00596737" w:rsidRDefault="00E93395" w:rsidP="00DD2779">
      <w:pPr>
        <w:pStyle w:val="Ttulo1"/>
        <w:rPr>
          <w:u w:val="single"/>
        </w:rPr>
      </w:pPr>
      <w:bookmarkStart w:id="34" w:name="_Toc440563164"/>
      <w:bookmarkStart w:id="35" w:name="_Toc440563706"/>
      <w:bookmarkStart w:id="36" w:name="_Toc376963181"/>
      <w:r w:rsidRPr="00596737">
        <w:rPr>
          <w:u w:val="single"/>
        </w:rPr>
        <w:t>Law</w:t>
      </w:r>
      <w:r w:rsidR="009F1CD6" w:rsidRPr="00596737">
        <w:rPr>
          <w:u w:val="single"/>
        </w:rPr>
        <w:t xml:space="preserve"> No. 29782: Strengthening Supervision </w:t>
      </w:r>
      <w:proofErr w:type="gramStart"/>
      <w:r w:rsidR="009F1CD6" w:rsidRPr="00596737">
        <w:rPr>
          <w:u w:val="single"/>
        </w:rPr>
        <w:t>In</w:t>
      </w:r>
      <w:proofErr w:type="gramEnd"/>
      <w:r w:rsidR="009F1CD6" w:rsidRPr="00596737">
        <w:rPr>
          <w:u w:val="single"/>
        </w:rPr>
        <w:t xml:space="preserve"> The Stock Market</w:t>
      </w:r>
      <w:bookmarkEnd w:id="34"/>
      <w:bookmarkEnd w:id="35"/>
    </w:p>
    <w:bookmarkEnd w:id="36"/>
    <w:p w:rsidR="00374673" w:rsidRPr="000A58B2" w:rsidRDefault="003D2209" w:rsidP="009F1CD6">
      <w:pPr>
        <w:pStyle w:val="NormalWeb"/>
        <w:rPr>
          <w:rFonts w:ascii="Arial Narrow" w:hAnsi="Arial Narrow"/>
          <w:b/>
          <w:bCs/>
          <w:sz w:val="22"/>
          <w:szCs w:val="22"/>
          <w:lang w:val="en-US"/>
        </w:rPr>
      </w:pPr>
      <w:r w:rsidRPr="000A58B2">
        <w:rPr>
          <w:rFonts w:ascii="Arial Narrow" w:hAnsi="Arial Narrow"/>
          <w:b/>
          <w:bCs/>
          <w:sz w:val="22"/>
          <w:szCs w:val="22"/>
          <w:lang w:val="en-US"/>
        </w:rPr>
        <w:t>F</w:t>
      </w:r>
      <w:r>
        <w:rPr>
          <w:rFonts w:ascii="Arial Narrow" w:hAnsi="Arial Narrow"/>
          <w:b/>
          <w:bCs/>
          <w:sz w:val="22"/>
          <w:szCs w:val="22"/>
          <w:lang w:val="en-US"/>
        </w:rPr>
        <w:t>inal Complementary Provisions</w:t>
      </w:r>
    </w:p>
    <w:p w:rsidR="00374673" w:rsidRPr="009943F4" w:rsidRDefault="00374673" w:rsidP="00374673">
      <w:pPr>
        <w:spacing w:before="100" w:beforeAutospacing="1" w:afterAutospacing="1"/>
        <w:rPr>
          <w:rFonts w:cs="Arial"/>
          <w:b/>
          <w:bCs/>
          <w:szCs w:val="22"/>
          <w:lang w:val="en-US"/>
        </w:rPr>
      </w:pPr>
      <w:r w:rsidRPr="009943F4">
        <w:rPr>
          <w:rFonts w:cs="Arial"/>
          <w:b/>
          <w:bCs/>
          <w:szCs w:val="22"/>
          <w:lang w:val="en-US"/>
        </w:rPr>
        <w:t xml:space="preserve">SIXTH – Power to authorize </w:t>
      </w:r>
      <w:r w:rsidR="009943F4" w:rsidRPr="009943F4">
        <w:rPr>
          <w:rFonts w:cs="Arial"/>
          <w:b/>
          <w:bCs/>
          <w:szCs w:val="22"/>
          <w:lang w:val="en-US"/>
        </w:rPr>
        <w:t>operations</w:t>
      </w:r>
      <w:r w:rsidRPr="009943F4">
        <w:rPr>
          <w:rFonts w:cs="Arial"/>
          <w:b/>
          <w:bCs/>
          <w:szCs w:val="22"/>
          <w:lang w:val="en-US"/>
        </w:rPr>
        <w:t xml:space="preserve"> and service deliveries</w:t>
      </w:r>
    </w:p>
    <w:p w:rsidR="00374673" w:rsidRPr="009943F4" w:rsidRDefault="00374673" w:rsidP="00374673">
      <w:pPr>
        <w:spacing w:before="100" w:beforeAutospacing="1" w:afterAutospacing="1"/>
        <w:rPr>
          <w:rFonts w:cs="Arial"/>
          <w:szCs w:val="22"/>
          <w:lang w:val="en-US"/>
        </w:rPr>
      </w:pPr>
      <w:r w:rsidRPr="009943F4">
        <w:rPr>
          <w:rFonts w:cs="Arial"/>
          <w:szCs w:val="22"/>
          <w:lang w:val="en-US"/>
        </w:rPr>
        <w:t xml:space="preserve">The Superintendence of Securities </w:t>
      </w:r>
      <w:r w:rsidR="002731A2">
        <w:rPr>
          <w:rFonts w:cs="Arial"/>
          <w:szCs w:val="22"/>
          <w:lang w:val="en-US"/>
        </w:rPr>
        <w:t xml:space="preserve">Market </w:t>
      </w:r>
      <w:r w:rsidRPr="009943F4">
        <w:rPr>
          <w:rFonts w:cs="Arial"/>
          <w:szCs w:val="22"/>
          <w:lang w:val="en-US"/>
        </w:rPr>
        <w:t xml:space="preserve">can authorize the provision of services that she determines will contribute to the duties of </w:t>
      </w:r>
      <w:r w:rsidR="002731A2">
        <w:rPr>
          <w:rFonts w:cs="Arial"/>
          <w:szCs w:val="22"/>
          <w:lang w:val="en-US"/>
        </w:rPr>
        <w:t>individuals</w:t>
      </w:r>
      <w:r w:rsidR="002731A2" w:rsidRPr="009943F4">
        <w:rPr>
          <w:rFonts w:cs="Arial"/>
          <w:szCs w:val="22"/>
          <w:lang w:val="en-US"/>
        </w:rPr>
        <w:t xml:space="preserve"> </w:t>
      </w:r>
      <w:r w:rsidRPr="009943F4">
        <w:rPr>
          <w:rFonts w:cs="Arial"/>
          <w:szCs w:val="22"/>
          <w:lang w:val="en-US"/>
        </w:rPr>
        <w:t>or legal persons in public and private sectors, with the purpose of assuring compliance with the current law; Legislative Decree 861, Securities Exchange Act and regulations. This authorization is granted by means of the SMV Superintendent’s resolution.</w:t>
      </w:r>
    </w:p>
    <w:p w:rsidR="00374673" w:rsidRPr="009943F4" w:rsidRDefault="00374673" w:rsidP="00374673">
      <w:pPr>
        <w:spacing w:before="100" w:beforeAutospacing="1" w:afterAutospacing="1"/>
        <w:rPr>
          <w:rFonts w:cs="Arial"/>
          <w:b/>
          <w:bCs/>
          <w:szCs w:val="22"/>
          <w:lang w:val="en-US"/>
        </w:rPr>
      </w:pPr>
      <w:r w:rsidRPr="009943F4">
        <w:rPr>
          <w:rFonts w:cs="Arial"/>
          <w:b/>
          <w:bCs/>
          <w:szCs w:val="22"/>
          <w:lang w:val="en-US"/>
        </w:rPr>
        <w:t>SEVENTH – Administrative silence rule</w:t>
      </w:r>
    </w:p>
    <w:p w:rsidR="00374673" w:rsidRPr="000A58B2" w:rsidRDefault="00374673" w:rsidP="00374673">
      <w:pPr>
        <w:spacing w:before="100" w:beforeAutospacing="1" w:afterAutospacing="1"/>
        <w:rPr>
          <w:rFonts w:cs="Arial"/>
          <w:szCs w:val="22"/>
          <w:lang w:val="en-US"/>
        </w:rPr>
      </w:pPr>
      <w:r w:rsidRPr="009943F4">
        <w:rPr>
          <w:rFonts w:cs="Arial"/>
          <w:szCs w:val="22"/>
          <w:lang w:val="en-US"/>
        </w:rPr>
        <w:t>The Superintendent has the power to subject administrative procedures to positive administrative silence prior to evaluation by the Superintendence of Securities</w:t>
      </w:r>
      <w:r w:rsidR="002731A2">
        <w:rPr>
          <w:rFonts w:cs="Arial"/>
          <w:szCs w:val="22"/>
          <w:lang w:val="en-US"/>
        </w:rPr>
        <w:t xml:space="preserve"> Market</w:t>
      </w:r>
      <w:r w:rsidRPr="009943F4">
        <w:rPr>
          <w:rFonts w:cs="Arial"/>
          <w:szCs w:val="22"/>
          <w:lang w:val="en-US"/>
        </w:rPr>
        <w:t>, a</w:t>
      </w:r>
      <w:r w:rsidR="009943F4" w:rsidRPr="009943F4">
        <w:rPr>
          <w:rFonts w:cs="Arial"/>
          <w:szCs w:val="22"/>
          <w:lang w:val="en-US"/>
        </w:rPr>
        <w:t>nd can be subjected to extreme</w:t>
      </w:r>
      <w:r w:rsidRPr="009943F4">
        <w:rPr>
          <w:rFonts w:cs="Arial"/>
          <w:szCs w:val="22"/>
          <w:lang w:val="en-US"/>
        </w:rPr>
        <w:t xml:space="preserve"> negative administrative silence, following the first transitional provision, complementary and final, of </w:t>
      </w:r>
      <w:r w:rsidR="00A263CC">
        <w:rPr>
          <w:rFonts w:cs="Arial"/>
          <w:szCs w:val="22"/>
          <w:lang w:val="en-US"/>
        </w:rPr>
        <w:t>Law</w:t>
      </w:r>
      <w:r w:rsidRPr="009943F4">
        <w:rPr>
          <w:rFonts w:cs="Arial"/>
          <w:szCs w:val="22"/>
          <w:lang w:val="en-US"/>
        </w:rPr>
        <w:t xml:space="preserve"> 29060, Law of Administrative Silence. The Superintendent must also reclassify the administrative procedures of evaluation by the SMV as procedures </w:t>
      </w:r>
      <w:r w:rsidR="009943F4">
        <w:rPr>
          <w:rFonts w:cs="Arial"/>
          <w:szCs w:val="22"/>
          <w:lang w:val="en-US"/>
        </w:rPr>
        <w:t>for</w:t>
      </w:r>
      <w:r w:rsidRPr="009943F4">
        <w:rPr>
          <w:rFonts w:cs="Arial"/>
          <w:szCs w:val="22"/>
          <w:lang w:val="en-US"/>
        </w:rPr>
        <w:t xml:space="preserve"> automatic approval.</w:t>
      </w:r>
    </w:p>
    <w:p w:rsidR="00366717" w:rsidRPr="000A58B2" w:rsidRDefault="00366717" w:rsidP="00366717">
      <w:pPr>
        <w:pStyle w:val="Subttulo1"/>
        <w:spacing w:line="360" w:lineRule="auto"/>
        <w:ind w:right="567"/>
        <w:jc w:val="both"/>
        <w:rPr>
          <w:rFonts w:ascii="Arial Narrow" w:hAnsi="Arial Narrow" w:cs="Arial"/>
          <w:color w:val="auto"/>
          <w:sz w:val="28"/>
          <w:szCs w:val="22"/>
          <w:lang w:val="en-US"/>
        </w:rPr>
      </w:pPr>
    </w:p>
    <w:p w:rsidR="00366717" w:rsidRDefault="00366717" w:rsidP="00366717">
      <w:pPr>
        <w:pStyle w:val="Subttulo1"/>
        <w:spacing w:line="360" w:lineRule="auto"/>
        <w:ind w:right="567"/>
        <w:jc w:val="both"/>
        <w:rPr>
          <w:rFonts w:ascii="Arial Narrow" w:hAnsi="Arial Narrow" w:cs="Arial"/>
          <w:color w:val="auto"/>
          <w:sz w:val="28"/>
          <w:szCs w:val="22"/>
          <w:lang w:val="en-US"/>
        </w:rPr>
      </w:pPr>
    </w:p>
    <w:p w:rsidR="00E93395" w:rsidRDefault="00E93395" w:rsidP="00366717">
      <w:pPr>
        <w:pStyle w:val="Subttulo1"/>
        <w:spacing w:line="360" w:lineRule="auto"/>
        <w:ind w:right="567"/>
        <w:jc w:val="both"/>
        <w:rPr>
          <w:rFonts w:ascii="Arial Narrow" w:hAnsi="Arial Narrow" w:cs="Arial"/>
          <w:color w:val="auto"/>
          <w:sz w:val="28"/>
          <w:szCs w:val="22"/>
          <w:lang w:val="en-US"/>
        </w:rPr>
      </w:pPr>
    </w:p>
    <w:p w:rsidR="00E93395" w:rsidRDefault="00E93395" w:rsidP="00366717">
      <w:pPr>
        <w:pStyle w:val="Subttulo1"/>
        <w:spacing w:line="360" w:lineRule="auto"/>
        <w:ind w:right="567"/>
        <w:jc w:val="both"/>
        <w:rPr>
          <w:rFonts w:ascii="Arial Narrow" w:hAnsi="Arial Narrow" w:cs="Arial"/>
          <w:color w:val="auto"/>
          <w:sz w:val="28"/>
          <w:szCs w:val="22"/>
          <w:lang w:val="en-US"/>
        </w:rPr>
      </w:pPr>
    </w:p>
    <w:p w:rsidR="00E93395" w:rsidRDefault="00E93395" w:rsidP="00366717">
      <w:pPr>
        <w:pStyle w:val="Subttulo1"/>
        <w:spacing w:line="360" w:lineRule="auto"/>
        <w:ind w:right="567"/>
        <w:jc w:val="both"/>
        <w:rPr>
          <w:rFonts w:ascii="Arial Narrow" w:hAnsi="Arial Narrow" w:cs="Arial"/>
          <w:color w:val="auto"/>
          <w:sz w:val="28"/>
          <w:szCs w:val="22"/>
          <w:lang w:val="en-US"/>
        </w:rPr>
      </w:pPr>
    </w:p>
    <w:p w:rsidR="00E93395" w:rsidRDefault="00E93395" w:rsidP="00366717">
      <w:pPr>
        <w:pStyle w:val="Subttulo1"/>
        <w:spacing w:line="360" w:lineRule="auto"/>
        <w:ind w:right="567"/>
        <w:jc w:val="both"/>
        <w:rPr>
          <w:rFonts w:ascii="Arial Narrow" w:hAnsi="Arial Narrow" w:cs="Arial"/>
          <w:color w:val="auto"/>
          <w:sz w:val="28"/>
          <w:szCs w:val="22"/>
          <w:lang w:val="en-US"/>
        </w:rPr>
      </w:pPr>
    </w:p>
    <w:p w:rsidR="00E93395" w:rsidRDefault="00E93395" w:rsidP="00366717">
      <w:pPr>
        <w:pStyle w:val="Subttulo1"/>
        <w:spacing w:line="360" w:lineRule="auto"/>
        <w:ind w:right="567"/>
        <w:jc w:val="both"/>
        <w:rPr>
          <w:rFonts w:ascii="Arial Narrow" w:hAnsi="Arial Narrow" w:cs="Arial"/>
          <w:color w:val="auto"/>
          <w:sz w:val="28"/>
          <w:szCs w:val="22"/>
          <w:lang w:val="en-US"/>
        </w:rPr>
      </w:pPr>
    </w:p>
    <w:p w:rsidR="00E93395" w:rsidRDefault="00E93395" w:rsidP="00366717">
      <w:pPr>
        <w:pStyle w:val="Subttulo1"/>
        <w:spacing w:line="360" w:lineRule="auto"/>
        <w:ind w:right="567"/>
        <w:jc w:val="both"/>
        <w:rPr>
          <w:rFonts w:ascii="Arial Narrow" w:hAnsi="Arial Narrow" w:cs="Arial"/>
          <w:color w:val="auto"/>
          <w:sz w:val="28"/>
          <w:szCs w:val="22"/>
          <w:lang w:val="en-US"/>
        </w:rPr>
      </w:pPr>
    </w:p>
    <w:p w:rsidR="00E93395" w:rsidRDefault="00E93395" w:rsidP="00366717">
      <w:pPr>
        <w:pStyle w:val="Subttulo1"/>
        <w:spacing w:line="360" w:lineRule="auto"/>
        <w:ind w:right="567"/>
        <w:jc w:val="both"/>
        <w:rPr>
          <w:rFonts w:ascii="Arial Narrow" w:hAnsi="Arial Narrow" w:cs="Arial"/>
          <w:color w:val="auto"/>
          <w:sz w:val="28"/>
          <w:szCs w:val="22"/>
          <w:lang w:val="en-US"/>
        </w:rPr>
      </w:pPr>
    </w:p>
    <w:p w:rsidR="00E93395" w:rsidRDefault="00E93395" w:rsidP="00366717">
      <w:pPr>
        <w:pStyle w:val="Subttulo1"/>
        <w:spacing w:line="360" w:lineRule="auto"/>
        <w:ind w:right="567"/>
        <w:jc w:val="both"/>
        <w:rPr>
          <w:rFonts w:ascii="Arial Narrow" w:hAnsi="Arial Narrow" w:cs="Arial"/>
          <w:color w:val="auto"/>
          <w:sz w:val="28"/>
          <w:szCs w:val="22"/>
          <w:lang w:val="en-US"/>
        </w:rPr>
      </w:pPr>
    </w:p>
    <w:p w:rsidR="00E93395" w:rsidRDefault="00E93395" w:rsidP="00366717">
      <w:pPr>
        <w:pStyle w:val="Subttulo1"/>
        <w:spacing w:line="360" w:lineRule="auto"/>
        <w:ind w:right="567"/>
        <w:jc w:val="both"/>
        <w:rPr>
          <w:rFonts w:ascii="Arial Narrow" w:hAnsi="Arial Narrow" w:cs="Arial"/>
          <w:color w:val="auto"/>
          <w:sz w:val="28"/>
          <w:szCs w:val="22"/>
          <w:lang w:val="en-US"/>
        </w:rPr>
      </w:pPr>
    </w:p>
    <w:p w:rsidR="00E93395" w:rsidRPr="000A58B2" w:rsidRDefault="00E93395" w:rsidP="00366717">
      <w:pPr>
        <w:pStyle w:val="Subttulo1"/>
        <w:spacing w:line="360" w:lineRule="auto"/>
        <w:ind w:right="567"/>
        <w:jc w:val="both"/>
        <w:rPr>
          <w:rFonts w:ascii="Arial Narrow" w:hAnsi="Arial Narrow" w:cs="Arial"/>
          <w:color w:val="auto"/>
          <w:sz w:val="28"/>
          <w:szCs w:val="22"/>
          <w:lang w:val="en-US"/>
        </w:rPr>
      </w:pPr>
    </w:p>
    <w:p w:rsidR="00366717" w:rsidRPr="000A58B2" w:rsidRDefault="00366717" w:rsidP="00366717">
      <w:pPr>
        <w:pStyle w:val="Subttulo1"/>
        <w:spacing w:line="360" w:lineRule="auto"/>
        <w:ind w:right="567"/>
        <w:jc w:val="both"/>
        <w:rPr>
          <w:rFonts w:ascii="Arial Narrow" w:hAnsi="Arial Narrow" w:cs="Arial"/>
          <w:color w:val="auto"/>
          <w:sz w:val="28"/>
          <w:szCs w:val="22"/>
          <w:lang w:val="en-US"/>
        </w:rPr>
      </w:pPr>
    </w:p>
    <w:p w:rsidR="00E93395" w:rsidRPr="00DA5DD1" w:rsidRDefault="00E93395" w:rsidP="003D2209">
      <w:bookmarkStart w:id="37" w:name="_Toc440444544"/>
    </w:p>
    <w:p w:rsidR="00E93395" w:rsidRPr="00DA5DD1" w:rsidRDefault="00E93395" w:rsidP="003D2209"/>
    <w:p w:rsidR="00E93395" w:rsidRPr="00DA5DD1" w:rsidRDefault="00E93395" w:rsidP="003D2209"/>
    <w:p w:rsidR="00E93395" w:rsidRPr="00DA5DD1" w:rsidRDefault="00E93395" w:rsidP="003D2209"/>
    <w:p w:rsidR="00E93395" w:rsidRPr="00DA5DD1" w:rsidRDefault="00E93395" w:rsidP="003D2209"/>
    <w:p w:rsidR="00E93395" w:rsidRPr="00DA5DD1" w:rsidRDefault="00E93395" w:rsidP="003D2209"/>
    <w:p w:rsidR="003D2209" w:rsidRDefault="003D2209" w:rsidP="003D2209">
      <w:bookmarkStart w:id="38" w:name="_Toc440563165"/>
      <w:bookmarkStart w:id="39" w:name="_Toc440563707"/>
    </w:p>
    <w:p w:rsidR="003D2209" w:rsidRDefault="003D2209" w:rsidP="003D2209"/>
    <w:p w:rsidR="003D2209" w:rsidRDefault="003D2209" w:rsidP="003D2209"/>
    <w:p w:rsidR="003D2209" w:rsidRDefault="003D2209" w:rsidP="003D2209"/>
    <w:p w:rsidR="003D2209" w:rsidRDefault="003D2209" w:rsidP="003D2209"/>
    <w:p w:rsidR="003D2209" w:rsidRDefault="003D2209" w:rsidP="003D2209"/>
    <w:p w:rsidR="003D2209" w:rsidRDefault="003D2209" w:rsidP="003D2209"/>
    <w:p w:rsidR="003D2209" w:rsidRDefault="003D2209" w:rsidP="003D2209"/>
    <w:p w:rsidR="00A74B5C" w:rsidRPr="00DA5DD1" w:rsidRDefault="00A74B5C" w:rsidP="00DD2779">
      <w:pPr>
        <w:pStyle w:val="Ttulo1"/>
      </w:pPr>
      <w:r w:rsidRPr="00DA5DD1">
        <w:t>ANNEX II</w:t>
      </w:r>
      <w:bookmarkEnd w:id="37"/>
      <w:bookmarkEnd w:id="38"/>
      <w:bookmarkEnd w:id="39"/>
    </w:p>
    <w:p w:rsidR="00A74B5C" w:rsidRPr="00DA5DD1" w:rsidRDefault="00A74B5C" w:rsidP="00DD2779">
      <w:pPr>
        <w:pStyle w:val="Ttulo1"/>
      </w:pPr>
    </w:p>
    <w:p w:rsidR="00A74B5C" w:rsidRPr="00736F95" w:rsidRDefault="00A74B5C" w:rsidP="00DD2779">
      <w:pPr>
        <w:pStyle w:val="Ttulo1"/>
      </w:pPr>
      <w:bookmarkStart w:id="40" w:name="_Toc440563166"/>
      <w:bookmarkStart w:id="41" w:name="_Toc440563708"/>
      <w:r w:rsidRPr="00736F95">
        <w:t>PROVISIONS THAT ARE NOT PART OF THE SECURITIES EXCHANGE ACT WHICH MODIFY THE</w:t>
      </w:r>
      <w:r w:rsidR="00E24C00" w:rsidRPr="00736F95">
        <w:t xml:space="preserve"> COMPANY ACT</w:t>
      </w:r>
      <w:r w:rsidRPr="00736F95">
        <w:t xml:space="preserve"> AND OTHER RELATED NORMS</w:t>
      </w:r>
      <w:bookmarkEnd w:id="40"/>
      <w:bookmarkEnd w:id="41"/>
    </w:p>
    <w:p w:rsidR="00A74B5C" w:rsidRPr="003D2209" w:rsidRDefault="00A74B5C" w:rsidP="003D2209">
      <w:pPr>
        <w:jc w:val="center"/>
        <w:rPr>
          <w:b/>
        </w:rPr>
      </w:pPr>
    </w:p>
    <w:p w:rsidR="00A74B5C" w:rsidRPr="003D2209" w:rsidRDefault="00A74B5C" w:rsidP="003D2209">
      <w:pPr>
        <w:jc w:val="center"/>
        <w:rPr>
          <w:b/>
        </w:rPr>
      </w:pPr>
      <w:bookmarkStart w:id="42" w:name="_Toc440442480"/>
      <w:bookmarkStart w:id="43" w:name="_Toc440444546"/>
      <w:bookmarkStart w:id="44" w:name="_Toc440563167"/>
      <w:bookmarkStart w:id="45" w:name="_Toc440563709"/>
      <w:r w:rsidRPr="003D2209">
        <w:rPr>
          <w:b/>
        </w:rPr>
        <w:t>Includes</w:t>
      </w:r>
      <w:r w:rsidR="00D61E0E" w:rsidRPr="003D2209">
        <w:rPr>
          <w:b/>
        </w:rPr>
        <w:t xml:space="preserve"> amendments by</w:t>
      </w:r>
      <w:r w:rsidRPr="003D2209">
        <w:rPr>
          <w:b/>
        </w:rPr>
        <w:t>:</w:t>
      </w:r>
      <w:bookmarkEnd w:id="42"/>
      <w:bookmarkEnd w:id="43"/>
      <w:bookmarkEnd w:id="44"/>
      <w:bookmarkEnd w:id="45"/>
    </w:p>
    <w:p w:rsidR="00D61E0E" w:rsidRPr="003D2209" w:rsidRDefault="00D61E0E" w:rsidP="003D2209">
      <w:pPr>
        <w:jc w:val="center"/>
        <w:rPr>
          <w:b/>
          <w:lang w:val="en-US"/>
        </w:rPr>
      </w:pPr>
    </w:p>
    <w:p w:rsidR="00A74B5C" w:rsidRPr="003D2209" w:rsidRDefault="00A263CC" w:rsidP="003D2209">
      <w:pPr>
        <w:jc w:val="center"/>
        <w:rPr>
          <w:b/>
        </w:rPr>
      </w:pPr>
      <w:bookmarkStart w:id="46" w:name="_Toc440444547"/>
      <w:bookmarkStart w:id="47" w:name="_Toc440563168"/>
      <w:bookmarkStart w:id="48" w:name="_Toc440563710"/>
      <w:r w:rsidRPr="003D2209">
        <w:rPr>
          <w:b/>
        </w:rPr>
        <w:t>Law</w:t>
      </w:r>
      <w:r w:rsidR="00A74B5C" w:rsidRPr="003D2209">
        <w:rPr>
          <w:b/>
        </w:rPr>
        <w:t xml:space="preserve"> No. 27649 published 23.01.2002</w:t>
      </w:r>
      <w:bookmarkEnd w:id="46"/>
      <w:bookmarkEnd w:id="47"/>
      <w:bookmarkEnd w:id="48"/>
    </w:p>
    <w:p w:rsidR="00A74B5C" w:rsidRPr="003D2209" w:rsidRDefault="00A74B5C" w:rsidP="003D2209">
      <w:pPr>
        <w:jc w:val="center"/>
        <w:rPr>
          <w:b/>
        </w:rPr>
      </w:pPr>
      <w:bookmarkStart w:id="49" w:name="_Toc440444548"/>
      <w:bookmarkStart w:id="50" w:name="_Toc440563169"/>
      <w:bookmarkStart w:id="51" w:name="_Toc440563711"/>
      <w:r w:rsidRPr="003D2209">
        <w:rPr>
          <w:b/>
        </w:rPr>
        <w:t>Legislative Decree No. 1061 published 28.06.2008</w:t>
      </w:r>
      <w:bookmarkEnd w:id="49"/>
      <w:bookmarkEnd w:id="50"/>
      <w:bookmarkEnd w:id="51"/>
    </w:p>
    <w:p w:rsidR="00551600" w:rsidRPr="003D2209" w:rsidRDefault="00551600" w:rsidP="003D2209">
      <w:pPr>
        <w:jc w:val="center"/>
        <w:rPr>
          <w:b/>
        </w:rPr>
      </w:pPr>
      <w:bookmarkStart w:id="52" w:name="_Toc440444551"/>
      <w:bookmarkStart w:id="53" w:name="_Toc440563170"/>
      <w:bookmarkStart w:id="54" w:name="_Toc440563712"/>
      <w:bookmarkStart w:id="55" w:name="_Toc440444550"/>
      <w:r w:rsidRPr="003D2209">
        <w:rPr>
          <w:b/>
        </w:rPr>
        <w:t>Law No. 29720 published 25.06.2011</w:t>
      </w:r>
      <w:bookmarkEnd w:id="52"/>
      <w:bookmarkEnd w:id="53"/>
      <w:bookmarkEnd w:id="54"/>
    </w:p>
    <w:p w:rsidR="00A74B5C" w:rsidRPr="003D2209" w:rsidRDefault="00B31A5E" w:rsidP="003D2209">
      <w:pPr>
        <w:jc w:val="center"/>
        <w:rPr>
          <w:b/>
        </w:rPr>
      </w:pPr>
      <w:bookmarkStart w:id="56" w:name="_Toc440563171"/>
      <w:bookmarkStart w:id="57" w:name="_Toc440563713"/>
      <w:r w:rsidRPr="003D2209">
        <w:rPr>
          <w:b/>
        </w:rPr>
        <w:t xml:space="preserve">Law </w:t>
      </w:r>
      <w:r w:rsidR="00A74B5C" w:rsidRPr="003D2209">
        <w:rPr>
          <w:b/>
        </w:rPr>
        <w:t>No. 29782 published 28.07.2011</w:t>
      </w:r>
      <w:bookmarkEnd w:id="55"/>
      <w:bookmarkEnd w:id="56"/>
      <w:bookmarkEnd w:id="57"/>
    </w:p>
    <w:p w:rsidR="00A74B5C" w:rsidRPr="003D2209" w:rsidRDefault="00A263CC" w:rsidP="003D2209">
      <w:pPr>
        <w:jc w:val="center"/>
        <w:rPr>
          <w:b/>
        </w:rPr>
      </w:pPr>
      <w:bookmarkStart w:id="58" w:name="_Toc440444552"/>
      <w:bookmarkStart w:id="59" w:name="_Toc440563172"/>
      <w:bookmarkStart w:id="60" w:name="_Toc440563714"/>
      <w:r w:rsidRPr="003D2209">
        <w:rPr>
          <w:b/>
        </w:rPr>
        <w:t>Law</w:t>
      </w:r>
      <w:r w:rsidR="00A74B5C" w:rsidRPr="003D2209">
        <w:rPr>
          <w:b/>
        </w:rPr>
        <w:t xml:space="preserve"> No. 30050 published 26.06.2013</w:t>
      </w:r>
      <w:bookmarkEnd w:id="58"/>
      <w:bookmarkEnd w:id="59"/>
      <w:bookmarkEnd w:id="60"/>
    </w:p>
    <w:p w:rsidR="00A74B5C" w:rsidRDefault="00A74B5C" w:rsidP="00A74B5C">
      <w:pPr>
        <w:pStyle w:val="Subttulo1"/>
        <w:spacing w:line="360" w:lineRule="auto"/>
        <w:ind w:left="360"/>
        <w:jc w:val="both"/>
        <w:rPr>
          <w:rFonts w:ascii="Arial Narrow" w:hAnsi="Arial Narrow" w:cs="Arial"/>
          <w:color w:val="auto"/>
          <w:sz w:val="22"/>
          <w:szCs w:val="22"/>
          <w:lang w:val="en-US"/>
        </w:rPr>
      </w:pPr>
    </w:p>
    <w:p w:rsidR="003D2209" w:rsidRPr="000A58B2" w:rsidRDefault="003D2209" w:rsidP="00A74B5C">
      <w:pPr>
        <w:pStyle w:val="Subttulo1"/>
        <w:spacing w:line="360" w:lineRule="auto"/>
        <w:ind w:left="360"/>
        <w:jc w:val="both"/>
        <w:rPr>
          <w:rFonts w:ascii="Arial Narrow" w:hAnsi="Arial Narrow" w:cs="Arial"/>
          <w:color w:val="auto"/>
          <w:sz w:val="22"/>
          <w:szCs w:val="22"/>
          <w:lang w:val="en-US"/>
        </w:rPr>
      </w:pPr>
    </w:p>
    <w:p w:rsidR="00A74B5C" w:rsidRPr="000A58B2" w:rsidRDefault="00A74B5C" w:rsidP="00A74B5C">
      <w:pPr>
        <w:rPr>
          <w:rFonts w:cs="Arial"/>
          <w:szCs w:val="22"/>
          <w:lang w:val="en-US"/>
        </w:rPr>
      </w:pPr>
      <w:r w:rsidRPr="000A58B2">
        <w:rPr>
          <w:rFonts w:cs="Arial"/>
          <w:szCs w:val="22"/>
          <w:lang w:val="en-US"/>
        </w:rPr>
        <w:br w:type="page"/>
      </w:r>
    </w:p>
    <w:p w:rsidR="00A74B5C" w:rsidRPr="00E93395" w:rsidRDefault="00A74B5C" w:rsidP="00A74B5C">
      <w:pPr>
        <w:spacing w:before="100" w:beforeAutospacing="1" w:afterAutospacing="1"/>
        <w:rPr>
          <w:rFonts w:ascii="Arial" w:hAnsi="Arial" w:cs="Arial"/>
          <w:b/>
          <w:bCs/>
          <w:szCs w:val="22"/>
          <w:lang w:val="en-US"/>
        </w:rPr>
      </w:pPr>
      <w:r w:rsidRPr="00E93395">
        <w:rPr>
          <w:rFonts w:ascii="Arial" w:hAnsi="Arial" w:cs="Arial"/>
          <w:b/>
          <w:bCs/>
          <w:szCs w:val="22"/>
          <w:lang w:val="en-US"/>
        </w:rPr>
        <w:lastRenderedPageBreak/>
        <w:t>AMENDMENTS TO THE CORPORATIONS ACT AND OTHER PROVISIONS IN COMPANY MATTERS</w:t>
      </w:r>
    </w:p>
    <w:p w:rsidR="00A74B5C" w:rsidRPr="00736F95" w:rsidRDefault="00E93395" w:rsidP="00DD2779">
      <w:pPr>
        <w:pStyle w:val="Ttulo1"/>
      </w:pPr>
      <w:bookmarkStart w:id="61" w:name="_Toc440563173"/>
      <w:bookmarkStart w:id="62" w:name="_Toc440563715"/>
      <w:r w:rsidRPr="00596737">
        <w:rPr>
          <w:u w:val="single"/>
        </w:rPr>
        <w:t>LAW</w:t>
      </w:r>
      <w:r w:rsidR="00A74B5C" w:rsidRPr="00596737">
        <w:rPr>
          <w:u w:val="single"/>
        </w:rPr>
        <w:t xml:space="preserve"> No. 27649: </w:t>
      </w:r>
      <w:proofErr w:type="gramStart"/>
      <w:r w:rsidR="00A74B5C" w:rsidRPr="00596737">
        <w:rPr>
          <w:u w:val="single"/>
        </w:rPr>
        <w:t>Modifies  Legislative</w:t>
      </w:r>
      <w:proofErr w:type="gramEnd"/>
      <w:r w:rsidR="00A74B5C" w:rsidRPr="00596737">
        <w:rPr>
          <w:u w:val="single"/>
        </w:rPr>
        <w:t xml:space="preserve"> Decree No. 861, Securities Exchange Act</w:t>
      </w:r>
      <w:r w:rsidR="00A74B5C" w:rsidRPr="00736F95">
        <w:t>.</w:t>
      </w:r>
      <w:bookmarkEnd w:id="61"/>
      <w:bookmarkEnd w:id="62"/>
    </w:p>
    <w:p w:rsidR="00E93395" w:rsidRDefault="00E93395" w:rsidP="00A74B5C">
      <w:pPr>
        <w:pStyle w:val="NormalWeb"/>
        <w:spacing w:before="0" w:beforeAutospacing="0" w:after="0" w:afterAutospacing="0"/>
        <w:jc w:val="both"/>
        <w:rPr>
          <w:rFonts w:ascii="Arial Narrow" w:hAnsi="Arial Narrow" w:cs="Arial"/>
          <w:b/>
          <w:bCs/>
          <w:sz w:val="22"/>
          <w:szCs w:val="22"/>
          <w:lang w:val="en-US"/>
        </w:rPr>
      </w:pPr>
    </w:p>
    <w:p w:rsidR="00596737" w:rsidRDefault="003D2209" w:rsidP="00596737">
      <w:pPr>
        <w:pStyle w:val="NormalWeb"/>
        <w:rPr>
          <w:rFonts w:ascii="Arial Narrow" w:hAnsi="Arial Narrow"/>
          <w:b/>
          <w:bCs/>
          <w:sz w:val="22"/>
          <w:szCs w:val="22"/>
          <w:lang w:val="en-US"/>
        </w:rPr>
      </w:pPr>
      <w:r w:rsidRPr="000A58B2">
        <w:rPr>
          <w:rFonts w:ascii="Arial Narrow" w:hAnsi="Arial Narrow"/>
          <w:b/>
          <w:bCs/>
          <w:sz w:val="22"/>
          <w:szCs w:val="22"/>
          <w:lang w:val="en-US"/>
        </w:rPr>
        <w:t>F</w:t>
      </w:r>
      <w:r>
        <w:rPr>
          <w:rFonts w:ascii="Arial Narrow" w:hAnsi="Arial Narrow"/>
          <w:b/>
          <w:bCs/>
          <w:sz w:val="22"/>
          <w:szCs w:val="22"/>
          <w:lang w:val="en-US"/>
        </w:rPr>
        <w:t xml:space="preserve">inal </w:t>
      </w:r>
      <w:r w:rsidR="00512F84">
        <w:rPr>
          <w:rFonts w:ascii="Arial Narrow" w:hAnsi="Arial Narrow"/>
          <w:b/>
          <w:bCs/>
          <w:sz w:val="22"/>
          <w:szCs w:val="22"/>
          <w:lang w:val="en-US"/>
        </w:rPr>
        <w:t>and Transitional</w:t>
      </w:r>
      <w:r>
        <w:rPr>
          <w:rFonts w:ascii="Arial Narrow" w:hAnsi="Arial Narrow"/>
          <w:b/>
          <w:bCs/>
          <w:sz w:val="22"/>
          <w:szCs w:val="22"/>
          <w:lang w:val="en-US"/>
        </w:rPr>
        <w:t xml:space="preserve"> Provisions</w:t>
      </w:r>
    </w:p>
    <w:p w:rsidR="00AF3F68" w:rsidRPr="00624C63" w:rsidRDefault="00AF3F68" w:rsidP="00AF3F68">
      <w:pPr>
        <w:rPr>
          <w:b/>
          <w:color w:val="000000" w:themeColor="text1"/>
        </w:rPr>
      </w:pPr>
      <w:r w:rsidRPr="00624C63">
        <w:rPr>
          <w:b/>
          <w:color w:val="000000" w:themeColor="text1"/>
        </w:rPr>
        <w:t>FIFTH.- UNSEIZABILITY OF ACCOUNTS AND OTHERS</w:t>
      </w:r>
    </w:p>
    <w:p w:rsidR="00AF3F68" w:rsidRPr="00624C63" w:rsidRDefault="00AF3F68" w:rsidP="00AF3F68">
      <w:pPr>
        <w:rPr>
          <w:color w:val="000000" w:themeColor="text1"/>
        </w:rPr>
      </w:pPr>
      <w:proofErr w:type="spellStart"/>
      <w:r w:rsidRPr="00624C63">
        <w:rPr>
          <w:color w:val="000000" w:themeColor="text1"/>
        </w:rPr>
        <w:t>During</w:t>
      </w:r>
      <w:proofErr w:type="spellEnd"/>
      <w:r w:rsidRPr="00624C63">
        <w:rPr>
          <w:color w:val="000000" w:themeColor="text1"/>
        </w:rPr>
        <w:t xml:space="preserve"> </w:t>
      </w:r>
      <w:proofErr w:type="spellStart"/>
      <w:r w:rsidRPr="00624C63">
        <w:rPr>
          <w:color w:val="000000" w:themeColor="text1"/>
        </w:rPr>
        <w:t>the</w:t>
      </w:r>
      <w:proofErr w:type="spellEnd"/>
      <w:r w:rsidRPr="00624C63">
        <w:rPr>
          <w:color w:val="000000" w:themeColor="text1"/>
        </w:rPr>
        <w:t xml:space="preserve"> </w:t>
      </w:r>
      <w:proofErr w:type="spellStart"/>
      <w:r w:rsidRPr="00624C63">
        <w:rPr>
          <w:color w:val="000000" w:themeColor="text1"/>
        </w:rPr>
        <w:t>securitites</w:t>
      </w:r>
      <w:proofErr w:type="spellEnd"/>
      <w:r w:rsidRPr="00624C63">
        <w:rPr>
          <w:color w:val="000000" w:themeColor="text1"/>
        </w:rPr>
        <w:t xml:space="preserve"> </w:t>
      </w:r>
      <w:proofErr w:type="spellStart"/>
      <w:r w:rsidRPr="00624C63">
        <w:rPr>
          <w:color w:val="000000" w:themeColor="text1"/>
        </w:rPr>
        <w:t>clearance</w:t>
      </w:r>
      <w:proofErr w:type="spellEnd"/>
      <w:r w:rsidRPr="00624C63">
        <w:rPr>
          <w:color w:val="000000" w:themeColor="text1"/>
        </w:rPr>
        <w:t xml:space="preserve"> and </w:t>
      </w:r>
      <w:proofErr w:type="spellStart"/>
      <w:r w:rsidRPr="00624C63">
        <w:rPr>
          <w:color w:val="000000" w:themeColor="text1"/>
        </w:rPr>
        <w:t>settlement</w:t>
      </w:r>
      <w:proofErr w:type="spellEnd"/>
      <w:r w:rsidRPr="00624C63">
        <w:rPr>
          <w:color w:val="000000" w:themeColor="text1"/>
        </w:rPr>
        <w:t xml:space="preserve"> </w:t>
      </w:r>
      <w:proofErr w:type="spellStart"/>
      <w:r w:rsidRPr="00624C63">
        <w:rPr>
          <w:color w:val="000000" w:themeColor="text1"/>
        </w:rPr>
        <w:t>process</w:t>
      </w:r>
      <w:proofErr w:type="spellEnd"/>
      <w:r w:rsidRPr="00624C63">
        <w:rPr>
          <w:color w:val="000000" w:themeColor="text1"/>
        </w:rPr>
        <w:t xml:space="preserve">  </w:t>
      </w:r>
      <w:proofErr w:type="spellStart"/>
      <w:r w:rsidRPr="00624C63">
        <w:rPr>
          <w:color w:val="000000" w:themeColor="text1"/>
        </w:rPr>
        <w:t>property</w:t>
      </w:r>
      <w:proofErr w:type="spellEnd"/>
      <w:r w:rsidRPr="00624C63">
        <w:rPr>
          <w:color w:val="000000" w:themeColor="text1"/>
        </w:rPr>
        <w:t xml:space="preserve"> </w:t>
      </w:r>
      <w:proofErr w:type="spellStart"/>
      <w:r w:rsidRPr="00624C63">
        <w:rPr>
          <w:color w:val="000000" w:themeColor="text1"/>
        </w:rPr>
        <w:t>resources</w:t>
      </w:r>
      <w:proofErr w:type="spellEnd"/>
      <w:r w:rsidRPr="00624C63">
        <w:rPr>
          <w:color w:val="000000" w:themeColor="text1"/>
        </w:rPr>
        <w:t xml:space="preserve"> </w:t>
      </w:r>
      <w:proofErr w:type="spellStart"/>
      <w:r w:rsidRPr="00624C63">
        <w:rPr>
          <w:color w:val="000000" w:themeColor="text1"/>
        </w:rPr>
        <w:t>from</w:t>
      </w:r>
      <w:proofErr w:type="spellEnd"/>
      <w:r w:rsidRPr="00624C63">
        <w:rPr>
          <w:color w:val="000000" w:themeColor="text1"/>
        </w:rPr>
        <w:t xml:space="preserve"> </w:t>
      </w:r>
      <w:proofErr w:type="spellStart"/>
      <w:r w:rsidRPr="00624C63">
        <w:rPr>
          <w:color w:val="000000" w:themeColor="text1"/>
        </w:rPr>
        <w:t>customers</w:t>
      </w:r>
      <w:proofErr w:type="spellEnd"/>
      <w:r w:rsidRPr="00624C63">
        <w:rPr>
          <w:color w:val="000000" w:themeColor="text1"/>
        </w:rPr>
        <w:t xml:space="preserve"> and </w:t>
      </w:r>
      <w:proofErr w:type="spellStart"/>
      <w:r w:rsidRPr="00624C63">
        <w:rPr>
          <w:color w:val="000000" w:themeColor="text1"/>
        </w:rPr>
        <w:t>holders</w:t>
      </w:r>
      <w:proofErr w:type="spellEnd"/>
      <w:r w:rsidRPr="00624C63">
        <w:rPr>
          <w:color w:val="000000" w:themeColor="text1"/>
        </w:rPr>
        <w:t xml:space="preserve"> </w:t>
      </w:r>
      <w:proofErr w:type="spellStart"/>
      <w:r w:rsidRPr="00624C63">
        <w:rPr>
          <w:color w:val="000000" w:themeColor="text1"/>
        </w:rPr>
        <w:t>that</w:t>
      </w:r>
      <w:proofErr w:type="spellEnd"/>
      <w:r w:rsidRPr="00624C63">
        <w:rPr>
          <w:color w:val="000000" w:themeColor="text1"/>
        </w:rPr>
        <w:t xml:space="preserve"> </w:t>
      </w:r>
      <w:proofErr w:type="spellStart"/>
      <w:r w:rsidRPr="00624C63">
        <w:rPr>
          <w:color w:val="000000" w:themeColor="text1"/>
        </w:rPr>
        <w:t>integrate</w:t>
      </w:r>
      <w:proofErr w:type="spellEnd"/>
      <w:r w:rsidRPr="00624C63">
        <w:rPr>
          <w:color w:val="000000" w:themeColor="text1"/>
        </w:rPr>
        <w:t xml:space="preserve"> </w:t>
      </w:r>
      <w:proofErr w:type="spellStart"/>
      <w:r w:rsidRPr="00624C63">
        <w:rPr>
          <w:color w:val="000000" w:themeColor="text1"/>
        </w:rPr>
        <w:t>banking</w:t>
      </w:r>
      <w:proofErr w:type="spellEnd"/>
      <w:r w:rsidRPr="00624C63">
        <w:rPr>
          <w:color w:val="000000" w:themeColor="text1"/>
        </w:rPr>
        <w:t xml:space="preserve"> </w:t>
      </w:r>
      <w:proofErr w:type="spellStart"/>
      <w:r w:rsidRPr="00624C63">
        <w:rPr>
          <w:color w:val="000000" w:themeColor="text1"/>
        </w:rPr>
        <w:t>accounts</w:t>
      </w:r>
      <w:proofErr w:type="spellEnd"/>
      <w:r w:rsidRPr="00624C63">
        <w:rPr>
          <w:color w:val="000000" w:themeColor="text1"/>
        </w:rPr>
        <w:t xml:space="preserve"> </w:t>
      </w:r>
      <w:proofErr w:type="spellStart"/>
      <w:r w:rsidRPr="00624C63">
        <w:rPr>
          <w:color w:val="000000" w:themeColor="text1"/>
        </w:rPr>
        <w:t>from</w:t>
      </w:r>
      <w:proofErr w:type="spellEnd"/>
      <w:r w:rsidRPr="00624C63">
        <w:rPr>
          <w:color w:val="000000" w:themeColor="text1"/>
        </w:rPr>
        <w:t xml:space="preserve"> </w:t>
      </w:r>
      <w:proofErr w:type="spellStart"/>
      <w:r w:rsidRPr="00624C63">
        <w:rPr>
          <w:color w:val="000000" w:themeColor="text1"/>
        </w:rPr>
        <w:t>participants</w:t>
      </w:r>
      <w:proofErr w:type="spellEnd"/>
      <w:r w:rsidRPr="00624C63">
        <w:rPr>
          <w:color w:val="000000" w:themeColor="text1"/>
        </w:rPr>
        <w:t xml:space="preserve"> </w:t>
      </w:r>
      <w:proofErr w:type="spellStart"/>
      <w:r w:rsidRPr="00624C63">
        <w:rPr>
          <w:color w:val="000000" w:themeColor="text1"/>
        </w:rPr>
        <w:t>or</w:t>
      </w:r>
      <w:proofErr w:type="spellEnd"/>
      <w:r w:rsidRPr="00624C63">
        <w:rPr>
          <w:color w:val="000000" w:themeColor="text1"/>
        </w:rPr>
        <w:t xml:space="preserve"> </w:t>
      </w:r>
      <w:proofErr w:type="spellStart"/>
      <w:r w:rsidRPr="00624C63">
        <w:rPr>
          <w:color w:val="000000" w:themeColor="text1"/>
        </w:rPr>
        <w:t>securities</w:t>
      </w:r>
      <w:proofErr w:type="spellEnd"/>
      <w:r w:rsidRPr="00624C63">
        <w:rPr>
          <w:color w:val="000000" w:themeColor="text1"/>
        </w:rPr>
        <w:t xml:space="preserve"> </w:t>
      </w:r>
      <w:proofErr w:type="spellStart"/>
      <w:r w:rsidRPr="00624C63">
        <w:rPr>
          <w:color w:val="000000" w:themeColor="text1"/>
        </w:rPr>
        <w:t>clearance</w:t>
      </w:r>
      <w:proofErr w:type="spellEnd"/>
      <w:r w:rsidRPr="00624C63">
        <w:rPr>
          <w:color w:val="000000" w:themeColor="text1"/>
        </w:rPr>
        <w:t xml:space="preserve"> and </w:t>
      </w:r>
      <w:proofErr w:type="spellStart"/>
      <w:r w:rsidRPr="00624C63">
        <w:rPr>
          <w:color w:val="000000" w:themeColor="text1"/>
        </w:rPr>
        <w:t>settlement</w:t>
      </w:r>
      <w:proofErr w:type="spellEnd"/>
      <w:r w:rsidRPr="00624C63">
        <w:rPr>
          <w:color w:val="000000" w:themeColor="text1"/>
        </w:rPr>
        <w:t xml:space="preserve"> </w:t>
      </w:r>
      <w:proofErr w:type="spellStart"/>
      <w:r w:rsidRPr="00624C63">
        <w:rPr>
          <w:color w:val="000000" w:themeColor="text1"/>
        </w:rPr>
        <w:t>institutions</w:t>
      </w:r>
      <w:proofErr w:type="spellEnd"/>
      <w:r w:rsidRPr="00624C63">
        <w:rPr>
          <w:color w:val="000000" w:themeColor="text1"/>
        </w:rPr>
        <w:t xml:space="preserve"> and </w:t>
      </w:r>
      <w:proofErr w:type="spellStart"/>
      <w:r w:rsidRPr="00624C63">
        <w:rPr>
          <w:color w:val="000000" w:themeColor="text1"/>
        </w:rPr>
        <w:t>also</w:t>
      </w:r>
      <w:proofErr w:type="spellEnd"/>
      <w:r w:rsidRPr="00624C63">
        <w:rPr>
          <w:color w:val="000000" w:themeColor="text1"/>
        </w:rPr>
        <w:t xml:space="preserve"> </w:t>
      </w:r>
      <w:proofErr w:type="spellStart"/>
      <w:r w:rsidRPr="00624C63">
        <w:rPr>
          <w:color w:val="000000" w:themeColor="text1"/>
        </w:rPr>
        <w:t>securities</w:t>
      </w:r>
      <w:proofErr w:type="spellEnd"/>
      <w:r w:rsidRPr="00624C63">
        <w:rPr>
          <w:color w:val="000000" w:themeColor="text1"/>
        </w:rPr>
        <w:t xml:space="preserve"> </w:t>
      </w:r>
      <w:proofErr w:type="spellStart"/>
      <w:r w:rsidRPr="00624C63">
        <w:rPr>
          <w:color w:val="000000" w:themeColor="text1"/>
        </w:rPr>
        <w:t>involved</w:t>
      </w:r>
      <w:proofErr w:type="spellEnd"/>
      <w:r w:rsidRPr="00624C63">
        <w:rPr>
          <w:color w:val="000000" w:themeColor="text1"/>
        </w:rPr>
        <w:t xml:space="preserve"> </w:t>
      </w:r>
      <w:proofErr w:type="spellStart"/>
      <w:r w:rsidRPr="00624C63">
        <w:rPr>
          <w:color w:val="000000" w:themeColor="text1"/>
        </w:rPr>
        <w:t>during</w:t>
      </w:r>
      <w:proofErr w:type="spellEnd"/>
      <w:r w:rsidRPr="00624C63">
        <w:rPr>
          <w:color w:val="000000" w:themeColor="text1"/>
        </w:rPr>
        <w:t xml:space="preserve"> </w:t>
      </w:r>
      <w:proofErr w:type="spellStart"/>
      <w:r w:rsidRPr="00624C63">
        <w:rPr>
          <w:color w:val="000000" w:themeColor="text1"/>
        </w:rPr>
        <w:t>the</w:t>
      </w:r>
      <w:proofErr w:type="spellEnd"/>
      <w:r w:rsidRPr="00624C63">
        <w:rPr>
          <w:color w:val="000000" w:themeColor="text1"/>
        </w:rPr>
        <w:t xml:space="preserve"> </w:t>
      </w:r>
      <w:proofErr w:type="spellStart"/>
      <w:r w:rsidRPr="00624C63">
        <w:rPr>
          <w:color w:val="000000" w:themeColor="text1"/>
        </w:rPr>
        <w:t>process</w:t>
      </w:r>
      <w:proofErr w:type="spellEnd"/>
      <w:r w:rsidRPr="00624C63">
        <w:rPr>
          <w:color w:val="000000" w:themeColor="text1"/>
        </w:rPr>
        <w:t xml:space="preserve">, are not </w:t>
      </w:r>
      <w:proofErr w:type="spellStart"/>
      <w:r w:rsidRPr="00624C63">
        <w:rPr>
          <w:color w:val="000000" w:themeColor="text1"/>
        </w:rPr>
        <w:t>subject</w:t>
      </w:r>
      <w:proofErr w:type="spellEnd"/>
      <w:r w:rsidRPr="00624C63">
        <w:rPr>
          <w:color w:val="000000" w:themeColor="text1"/>
        </w:rPr>
        <w:t xml:space="preserve"> to </w:t>
      </w:r>
      <w:proofErr w:type="spellStart"/>
      <w:r w:rsidRPr="00624C63">
        <w:rPr>
          <w:color w:val="000000" w:themeColor="text1"/>
        </w:rPr>
        <w:t>any</w:t>
      </w:r>
      <w:proofErr w:type="spellEnd"/>
      <w:r w:rsidRPr="00624C63">
        <w:rPr>
          <w:color w:val="000000" w:themeColor="text1"/>
        </w:rPr>
        <w:t xml:space="preserve"> </w:t>
      </w:r>
      <w:proofErr w:type="spellStart"/>
      <w:r w:rsidRPr="00624C63">
        <w:rPr>
          <w:color w:val="000000" w:themeColor="text1"/>
        </w:rPr>
        <w:t>precautionary</w:t>
      </w:r>
      <w:proofErr w:type="spellEnd"/>
      <w:r w:rsidRPr="00624C63">
        <w:rPr>
          <w:color w:val="000000" w:themeColor="text1"/>
        </w:rPr>
        <w:t xml:space="preserve"> </w:t>
      </w:r>
      <w:proofErr w:type="spellStart"/>
      <w:r w:rsidRPr="00624C63">
        <w:rPr>
          <w:color w:val="000000" w:themeColor="text1"/>
        </w:rPr>
        <w:t>measure</w:t>
      </w:r>
      <w:proofErr w:type="spellEnd"/>
      <w:r w:rsidRPr="00624C63">
        <w:rPr>
          <w:color w:val="000000" w:themeColor="text1"/>
        </w:rPr>
        <w:t>.</w:t>
      </w:r>
    </w:p>
    <w:p w:rsidR="00AF3F68" w:rsidRPr="00624C63" w:rsidRDefault="00AF3F68" w:rsidP="00AF3F68">
      <w:pPr>
        <w:rPr>
          <w:color w:val="000000" w:themeColor="text1"/>
        </w:rPr>
      </w:pPr>
      <w:proofErr w:type="spellStart"/>
      <w:r w:rsidRPr="00624C63">
        <w:rPr>
          <w:color w:val="000000" w:themeColor="text1"/>
        </w:rPr>
        <w:t>Likewise</w:t>
      </w:r>
      <w:proofErr w:type="spellEnd"/>
      <w:r w:rsidRPr="00624C63">
        <w:rPr>
          <w:color w:val="000000" w:themeColor="text1"/>
        </w:rPr>
        <w:t xml:space="preserve">, </w:t>
      </w:r>
      <w:proofErr w:type="spellStart"/>
      <w:r w:rsidRPr="00624C63">
        <w:rPr>
          <w:color w:val="000000" w:themeColor="text1"/>
        </w:rPr>
        <w:t>property</w:t>
      </w:r>
      <w:proofErr w:type="spellEnd"/>
      <w:r w:rsidRPr="00624C63">
        <w:rPr>
          <w:color w:val="000000" w:themeColor="text1"/>
        </w:rPr>
        <w:t xml:space="preserve"> </w:t>
      </w:r>
      <w:proofErr w:type="spellStart"/>
      <w:r w:rsidRPr="00624C63">
        <w:rPr>
          <w:color w:val="000000" w:themeColor="text1"/>
        </w:rPr>
        <w:t>resources</w:t>
      </w:r>
      <w:proofErr w:type="spellEnd"/>
      <w:r w:rsidRPr="00624C63">
        <w:rPr>
          <w:color w:val="000000" w:themeColor="text1"/>
        </w:rPr>
        <w:t xml:space="preserve"> </w:t>
      </w:r>
      <w:proofErr w:type="spellStart"/>
      <w:r w:rsidRPr="00624C63">
        <w:rPr>
          <w:color w:val="000000" w:themeColor="text1"/>
        </w:rPr>
        <w:t>from</w:t>
      </w:r>
      <w:proofErr w:type="spellEnd"/>
      <w:r w:rsidRPr="00624C63">
        <w:rPr>
          <w:color w:val="000000" w:themeColor="text1"/>
        </w:rPr>
        <w:t xml:space="preserve"> </w:t>
      </w:r>
      <w:proofErr w:type="spellStart"/>
      <w:r w:rsidRPr="00624C63">
        <w:rPr>
          <w:color w:val="000000" w:themeColor="text1"/>
        </w:rPr>
        <w:t>customers</w:t>
      </w:r>
      <w:proofErr w:type="spellEnd"/>
      <w:r w:rsidRPr="00624C63">
        <w:rPr>
          <w:color w:val="000000" w:themeColor="text1"/>
        </w:rPr>
        <w:t xml:space="preserve"> and </w:t>
      </w:r>
      <w:proofErr w:type="spellStart"/>
      <w:r w:rsidRPr="00624C63">
        <w:rPr>
          <w:color w:val="000000" w:themeColor="text1"/>
        </w:rPr>
        <w:t>holders</w:t>
      </w:r>
      <w:proofErr w:type="spellEnd"/>
      <w:r w:rsidRPr="00624C63">
        <w:rPr>
          <w:color w:val="000000" w:themeColor="text1"/>
        </w:rPr>
        <w:t xml:space="preserve"> </w:t>
      </w:r>
      <w:proofErr w:type="spellStart"/>
      <w:r w:rsidRPr="00624C63">
        <w:rPr>
          <w:color w:val="000000" w:themeColor="text1"/>
        </w:rPr>
        <w:t>deposited</w:t>
      </w:r>
      <w:proofErr w:type="spellEnd"/>
      <w:r w:rsidRPr="00624C63">
        <w:rPr>
          <w:color w:val="000000" w:themeColor="text1"/>
        </w:rPr>
        <w:t xml:space="preserve"> in </w:t>
      </w:r>
      <w:proofErr w:type="spellStart"/>
      <w:r w:rsidRPr="00624C63">
        <w:rPr>
          <w:color w:val="000000" w:themeColor="text1"/>
        </w:rPr>
        <w:t>participants</w:t>
      </w:r>
      <w:proofErr w:type="spellEnd"/>
      <w:r w:rsidRPr="00624C63">
        <w:rPr>
          <w:color w:val="000000" w:themeColor="text1"/>
        </w:rPr>
        <w:t xml:space="preserve"> </w:t>
      </w:r>
      <w:proofErr w:type="spellStart"/>
      <w:r w:rsidRPr="00624C63">
        <w:rPr>
          <w:color w:val="000000" w:themeColor="text1"/>
        </w:rPr>
        <w:t>banking</w:t>
      </w:r>
      <w:proofErr w:type="spellEnd"/>
      <w:r w:rsidRPr="00624C63">
        <w:rPr>
          <w:color w:val="000000" w:themeColor="text1"/>
        </w:rPr>
        <w:t xml:space="preserve"> </w:t>
      </w:r>
      <w:proofErr w:type="spellStart"/>
      <w:r w:rsidRPr="00624C63">
        <w:rPr>
          <w:color w:val="000000" w:themeColor="text1"/>
        </w:rPr>
        <w:t>accounts</w:t>
      </w:r>
      <w:proofErr w:type="spellEnd"/>
      <w:r w:rsidRPr="00624C63">
        <w:rPr>
          <w:color w:val="000000" w:themeColor="text1"/>
        </w:rPr>
        <w:t xml:space="preserve">, </w:t>
      </w:r>
      <w:proofErr w:type="spellStart"/>
      <w:r w:rsidRPr="00624C63">
        <w:rPr>
          <w:color w:val="000000" w:themeColor="text1"/>
        </w:rPr>
        <w:t>securities</w:t>
      </w:r>
      <w:proofErr w:type="spellEnd"/>
      <w:r w:rsidRPr="00624C63">
        <w:rPr>
          <w:color w:val="000000" w:themeColor="text1"/>
        </w:rPr>
        <w:t xml:space="preserve"> </w:t>
      </w:r>
      <w:proofErr w:type="spellStart"/>
      <w:r w:rsidRPr="00624C63">
        <w:rPr>
          <w:color w:val="000000" w:themeColor="text1"/>
        </w:rPr>
        <w:t>clearance</w:t>
      </w:r>
      <w:proofErr w:type="spellEnd"/>
      <w:r w:rsidRPr="00624C63">
        <w:rPr>
          <w:color w:val="000000" w:themeColor="text1"/>
        </w:rPr>
        <w:t xml:space="preserve"> and </w:t>
      </w:r>
      <w:proofErr w:type="spellStart"/>
      <w:r w:rsidRPr="00624C63">
        <w:rPr>
          <w:color w:val="000000" w:themeColor="text1"/>
        </w:rPr>
        <w:t>settlement</w:t>
      </w:r>
      <w:proofErr w:type="spellEnd"/>
      <w:r w:rsidRPr="00624C63">
        <w:rPr>
          <w:color w:val="000000" w:themeColor="text1"/>
        </w:rPr>
        <w:t xml:space="preserve"> </w:t>
      </w:r>
      <w:proofErr w:type="spellStart"/>
      <w:r w:rsidRPr="00624C63">
        <w:rPr>
          <w:color w:val="000000" w:themeColor="text1"/>
        </w:rPr>
        <w:t>institutions</w:t>
      </w:r>
      <w:proofErr w:type="spellEnd"/>
      <w:r w:rsidRPr="00624C63">
        <w:rPr>
          <w:color w:val="000000" w:themeColor="text1"/>
        </w:rPr>
        <w:t xml:space="preserve">  </w:t>
      </w:r>
      <w:proofErr w:type="spellStart"/>
      <w:r w:rsidRPr="00624C63">
        <w:rPr>
          <w:color w:val="000000" w:themeColor="text1"/>
        </w:rPr>
        <w:t>or</w:t>
      </w:r>
      <w:proofErr w:type="spellEnd"/>
      <w:r w:rsidRPr="00624C63">
        <w:rPr>
          <w:color w:val="000000" w:themeColor="text1"/>
        </w:rPr>
        <w:t xml:space="preserve"> </w:t>
      </w:r>
      <w:proofErr w:type="spellStart"/>
      <w:r w:rsidRPr="00624C63">
        <w:rPr>
          <w:color w:val="000000" w:themeColor="text1"/>
        </w:rPr>
        <w:t>intermediation</w:t>
      </w:r>
      <w:proofErr w:type="spellEnd"/>
      <w:r w:rsidRPr="00624C63">
        <w:rPr>
          <w:color w:val="000000" w:themeColor="text1"/>
        </w:rPr>
        <w:t xml:space="preserve"> </w:t>
      </w:r>
      <w:proofErr w:type="spellStart"/>
      <w:r w:rsidRPr="00624C63">
        <w:rPr>
          <w:color w:val="000000" w:themeColor="text1"/>
        </w:rPr>
        <w:t>agents</w:t>
      </w:r>
      <w:proofErr w:type="spellEnd"/>
      <w:r w:rsidRPr="00624C63">
        <w:rPr>
          <w:color w:val="000000" w:themeColor="text1"/>
        </w:rPr>
        <w:t xml:space="preserve"> can </w:t>
      </w:r>
      <w:proofErr w:type="spellStart"/>
      <w:r w:rsidRPr="00624C63">
        <w:rPr>
          <w:color w:val="000000" w:themeColor="text1"/>
        </w:rPr>
        <w:t>only</w:t>
      </w:r>
      <w:proofErr w:type="spellEnd"/>
      <w:r w:rsidRPr="00624C63">
        <w:rPr>
          <w:color w:val="000000" w:themeColor="text1"/>
        </w:rPr>
        <w:t xml:space="preserve"> </w:t>
      </w:r>
      <w:proofErr w:type="spellStart"/>
      <w:r w:rsidRPr="00624C63">
        <w:rPr>
          <w:color w:val="000000" w:themeColor="text1"/>
        </w:rPr>
        <w:t>be</w:t>
      </w:r>
      <w:proofErr w:type="spellEnd"/>
      <w:r w:rsidRPr="00624C63">
        <w:rPr>
          <w:color w:val="000000" w:themeColor="text1"/>
        </w:rPr>
        <w:t xml:space="preserve"> </w:t>
      </w:r>
      <w:proofErr w:type="spellStart"/>
      <w:r w:rsidRPr="00624C63">
        <w:rPr>
          <w:color w:val="000000" w:themeColor="text1"/>
        </w:rPr>
        <w:t>subject</w:t>
      </w:r>
      <w:proofErr w:type="spellEnd"/>
      <w:r w:rsidRPr="00624C63">
        <w:rPr>
          <w:color w:val="000000" w:themeColor="text1"/>
        </w:rPr>
        <w:t xml:space="preserve"> to  </w:t>
      </w:r>
      <w:proofErr w:type="spellStart"/>
      <w:r w:rsidRPr="00624C63">
        <w:rPr>
          <w:color w:val="000000" w:themeColor="text1"/>
        </w:rPr>
        <w:t>precautionary</w:t>
      </w:r>
      <w:proofErr w:type="spellEnd"/>
      <w:r w:rsidRPr="00624C63">
        <w:rPr>
          <w:color w:val="000000" w:themeColor="text1"/>
        </w:rPr>
        <w:t xml:space="preserve"> </w:t>
      </w:r>
      <w:proofErr w:type="spellStart"/>
      <w:r w:rsidRPr="00624C63">
        <w:rPr>
          <w:color w:val="000000" w:themeColor="text1"/>
        </w:rPr>
        <w:t>measures</w:t>
      </w:r>
      <w:proofErr w:type="spellEnd"/>
      <w:r w:rsidRPr="00624C63">
        <w:rPr>
          <w:color w:val="000000" w:themeColor="text1"/>
        </w:rPr>
        <w:t xml:space="preserve"> </w:t>
      </w:r>
      <w:proofErr w:type="spellStart"/>
      <w:r w:rsidRPr="00624C63">
        <w:rPr>
          <w:color w:val="000000" w:themeColor="text1"/>
        </w:rPr>
        <w:t>or</w:t>
      </w:r>
      <w:proofErr w:type="spellEnd"/>
      <w:r w:rsidRPr="00624C63">
        <w:rPr>
          <w:color w:val="000000" w:themeColor="text1"/>
        </w:rPr>
        <w:t xml:space="preserve"> </w:t>
      </w:r>
      <w:proofErr w:type="spellStart"/>
      <w:r w:rsidRPr="00624C63">
        <w:rPr>
          <w:color w:val="000000" w:themeColor="text1"/>
        </w:rPr>
        <w:t>secure</w:t>
      </w:r>
      <w:proofErr w:type="spellEnd"/>
      <w:r w:rsidRPr="00624C63">
        <w:rPr>
          <w:color w:val="000000" w:themeColor="text1"/>
        </w:rPr>
        <w:t xml:space="preserve"> </w:t>
      </w:r>
      <w:proofErr w:type="spellStart"/>
      <w:r w:rsidRPr="00624C63">
        <w:rPr>
          <w:color w:val="000000" w:themeColor="text1"/>
        </w:rPr>
        <w:t>obligations</w:t>
      </w:r>
      <w:proofErr w:type="spellEnd"/>
      <w:r w:rsidRPr="00624C63">
        <w:rPr>
          <w:color w:val="000000" w:themeColor="text1"/>
        </w:rPr>
        <w:t xml:space="preserve"> </w:t>
      </w:r>
      <w:proofErr w:type="spellStart"/>
      <w:r w:rsidRPr="00624C63">
        <w:rPr>
          <w:color w:val="000000" w:themeColor="text1"/>
        </w:rPr>
        <w:t>under</w:t>
      </w:r>
      <w:proofErr w:type="spellEnd"/>
      <w:r w:rsidRPr="00624C63">
        <w:rPr>
          <w:color w:val="000000" w:themeColor="text1"/>
        </w:rPr>
        <w:t xml:space="preserve"> </w:t>
      </w:r>
      <w:proofErr w:type="spellStart"/>
      <w:r w:rsidRPr="00624C63">
        <w:rPr>
          <w:color w:val="000000" w:themeColor="text1"/>
        </w:rPr>
        <w:t>responsability</w:t>
      </w:r>
      <w:proofErr w:type="spellEnd"/>
      <w:r w:rsidRPr="00624C63">
        <w:rPr>
          <w:color w:val="000000" w:themeColor="text1"/>
        </w:rPr>
        <w:t xml:space="preserve"> of </w:t>
      </w:r>
      <w:proofErr w:type="spellStart"/>
      <w:r w:rsidRPr="00624C63">
        <w:rPr>
          <w:color w:val="000000" w:themeColor="text1"/>
        </w:rPr>
        <w:t>those</w:t>
      </w:r>
      <w:proofErr w:type="spellEnd"/>
      <w:r w:rsidRPr="00624C63">
        <w:rPr>
          <w:color w:val="000000" w:themeColor="text1"/>
        </w:rPr>
        <w:t xml:space="preserve"> </w:t>
      </w:r>
      <w:proofErr w:type="spellStart"/>
      <w:r w:rsidRPr="00624C63">
        <w:rPr>
          <w:color w:val="000000" w:themeColor="text1"/>
        </w:rPr>
        <w:t>customers</w:t>
      </w:r>
      <w:proofErr w:type="spellEnd"/>
      <w:r w:rsidRPr="00624C63">
        <w:rPr>
          <w:color w:val="000000" w:themeColor="text1"/>
        </w:rPr>
        <w:t xml:space="preserve"> </w:t>
      </w:r>
      <w:proofErr w:type="spellStart"/>
      <w:r w:rsidRPr="00624C63">
        <w:rPr>
          <w:color w:val="000000" w:themeColor="text1"/>
        </w:rPr>
        <w:t>or</w:t>
      </w:r>
      <w:proofErr w:type="spellEnd"/>
      <w:r w:rsidRPr="00624C63">
        <w:rPr>
          <w:color w:val="000000" w:themeColor="text1"/>
        </w:rPr>
        <w:t xml:space="preserve"> </w:t>
      </w:r>
      <w:proofErr w:type="spellStart"/>
      <w:r w:rsidRPr="00624C63">
        <w:rPr>
          <w:color w:val="000000" w:themeColor="text1"/>
        </w:rPr>
        <w:t>holders</w:t>
      </w:r>
      <w:proofErr w:type="spellEnd"/>
      <w:r w:rsidRPr="00624C63">
        <w:rPr>
          <w:color w:val="000000" w:themeColor="text1"/>
        </w:rPr>
        <w:t xml:space="preserve"> can not </w:t>
      </w:r>
      <w:proofErr w:type="spellStart"/>
      <w:r w:rsidRPr="00624C63">
        <w:rPr>
          <w:color w:val="000000" w:themeColor="text1"/>
        </w:rPr>
        <w:t>be</w:t>
      </w:r>
      <w:proofErr w:type="spellEnd"/>
      <w:r w:rsidRPr="00624C63">
        <w:rPr>
          <w:color w:val="000000" w:themeColor="text1"/>
        </w:rPr>
        <w:t xml:space="preserve">  </w:t>
      </w:r>
      <w:proofErr w:type="spellStart"/>
      <w:r w:rsidRPr="00624C63">
        <w:rPr>
          <w:color w:val="000000" w:themeColor="text1"/>
        </w:rPr>
        <w:t>affected</w:t>
      </w:r>
      <w:proofErr w:type="spellEnd"/>
      <w:r w:rsidRPr="00624C63">
        <w:rPr>
          <w:color w:val="000000" w:themeColor="text1"/>
        </w:rPr>
        <w:t xml:space="preserve"> </w:t>
      </w:r>
      <w:proofErr w:type="spellStart"/>
      <w:r w:rsidRPr="00624C63">
        <w:rPr>
          <w:color w:val="000000" w:themeColor="text1"/>
        </w:rPr>
        <w:t>from</w:t>
      </w:r>
      <w:proofErr w:type="spellEnd"/>
      <w:r w:rsidRPr="00624C63">
        <w:rPr>
          <w:color w:val="000000" w:themeColor="text1"/>
        </w:rPr>
        <w:t xml:space="preserve"> </w:t>
      </w:r>
      <w:proofErr w:type="spellStart"/>
      <w:r w:rsidRPr="00624C63">
        <w:rPr>
          <w:color w:val="000000" w:themeColor="text1"/>
        </w:rPr>
        <w:t>participants</w:t>
      </w:r>
      <w:proofErr w:type="spellEnd"/>
      <w:r w:rsidRPr="00624C63">
        <w:rPr>
          <w:color w:val="000000" w:themeColor="text1"/>
        </w:rPr>
        <w:t xml:space="preserve">, </w:t>
      </w:r>
      <w:proofErr w:type="spellStart"/>
      <w:r w:rsidRPr="00624C63">
        <w:rPr>
          <w:color w:val="000000" w:themeColor="text1"/>
        </w:rPr>
        <w:t>intermediation</w:t>
      </w:r>
      <w:proofErr w:type="spellEnd"/>
      <w:r w:rsidRPr="00624C63">
        <w:rPr>
          <w:color w:val="000000" w:themeColor="text1"/>
        </w:rPr>
        <w:t xml:space="preserve"> </w:t>
      </w:r>
      <w:proofErr w:type="spellStart"/>
      <w:r w:rsidRPr="00624C63">
        <w:rPr>
          <w:color w:val="000000" w:themeColor="text1"/>
        </w:rPr>
        <w:t>agents</w:t>
      </w:r>
      <w:proofErr w:type="spellEnd"/>
      <w:r w:rsidRPr="00624C63">
        <w:rPr>
          <w:color w:val="000000" w:themeColor="text1"/>
        </w:rPr>
        <w:t xml:space="preserve"> and </w:t>
      </w:r>
      <w:proofErr w:type="spellStart"/>
      <w:r w:rsidRPr="00624C63">
        <w:rPr>
          <w:color w:val="000000" w:themeColor="text1"/>
        </w:rPr>
        <w:t>securities</w:t>
      </w:r>
      <w:proofErr w:type="spellEnd"/>
      <w:r w:rsidRPr="00624C63">
        <w:rPr>
          <w:color w:val="000000" w:themeColor="text1"/>
        </w:rPr>
        <w:t xml:space="preserve"> </w:t>
      </w:r>
      <w:proofErr w:type="spellStart"/>
      <w:r w:rsidRPr="00624C63">
        <w:rPr>
          <w:color w:val="000000" w:themeColor="text1"/>
        </w:rPr>
        <w:t>clearance</w:t>
      </w:r>
      <w:proofErr w:type="spellEnd"/>
      <w:r w:rsidRPr="00624C63">
        <w:rPr>
          <w:color w:val="000000" w:themeColor="text1"/>
        </w:rPr>
        <w:t xml:space="preserve"> and </w:t>
      </w:r>
      <w:proofErr w:type="spellStart"/>
      <w:r w:rsidRPr="00624C63">
        <w:rPr>
          <w:color w:val="000000" w:themeColor="text1"/>
        </w:rPr>
        <w:t>settlement</w:t>
      </w:r>
      <w:proofErr w:type="spellEnd"/>
      <w:r w:rsidRPr="00624C63">
        <w:rPr>
          <w:color w:val="000000" w:themeColor="text1"/>
        </w:rPr>
        <w:t xml:space="preserve"> </w:t>
      </w:r>
      <w:proofErr w:type="spellStart"/>
      <w:r w:rsidRPr="00624C63">
        <w:rPr>
          <w:color w:val="000000" w:themeColor="text1"/>
        </w:rPr>
        <w:t>obligations</w:t>
      </w:r>
      <w:proofErr w:type="spellEnd"/>
      <w:r w:rsidRPr="00624C63">
        <w:rPr>
          <w:color w:val="000000" w:themeColor="text1"/>
        </w:rPr>
        <w:t xml:space="preserve">. </w:t>
      </w:r>
      <w:proofErr w:type="spellStart"/>
      <w:r w:rsidRPr="00624C63">
        <w:rPr>
          <w:color w:val="000000" w:themeColor="text1"/>
        </w:rPr>
        <w:t>Same</w:t>
      </w:r>
      <w:proofErr w:type="spellEnd"/>
      <w:r w:rsidRPr="00624C63">
        <w:rPr>
          <w:color w:val="000000" w:themeColor="text1"/>
        </w:rPr>
        <w:t xml:space="preserve"> rule </w:t>
      </w:r>
      <w:proofErr w:type="spellStart"/>
      <w:r w:rsidRPr="00624C63">
        <w:rPr>
          <w:color w:val="000000" w:themeColor="text1"/>
        </w:rPr>
        <w:t>applies</w:t>
      </w:r>
      <w:proofErr w:type="spellEnd"/>
      <w:r w:rsidRPr="00624C63">
        <w:rPr>
          <w:color w:val="000000" w:themeColor="text1"/>
        </w:rPr>
        <w:t xml:space="preserve"> to </w:t>
      </w:r>
      <w:proofErr w:type="spellStart"/>
      <w:r w:rsidRPr="00624C63">
        <w:rPr>
          <w:color w:val="000000" w:themeColor="text1"/>
        </w:rPr>
        <w:t>securities</w:t>
      </w:r>
      <w:proofErr w:type="spellEnd"/>
      <w:r w:rsidRPr="00624C63">
        <w:rPr>
          <w:color w:val="000000" w:themeColor="text1"/>
        </w:rPr>
        <w:t xml:space="preserve">, as </w:t>
      </w:r>
      <w:proofErr w:type="spellStart"/>
      <w:r w:rsidRPr="00624C63">
        <w:rPr>
          <w:color w:val="000000" w:themeColor="text1"/>
        </w:rPr>
        <w:t>appropriate</w:t>
      </w:r>
      <w:proofErr w:type="spellEnd"/>
      <w:r w:rsidRPr="00624C63">
        <w:rPr>
          <w:color w:val="000000" w:themeColor="text1"/>
        </w:rPr>
        <w:t>.</w:t>
      </w:r>
    </w:p>
    <w:p w:rsidR="00AF3F68" w:rsidRPr="00AF3F68" w:rsidRDefault="00AF3F68" w:rsidP="00AF3F68">
      <w:pPr>
        <w:rPr>
          <w:color w:val="000000" w:themeColor="text1"/>
        </w:rPr>
      </w:pPr>
      <w:r w:rsidRPr="00624C63">
        <w:rPr>
          <w:color w:val="000000" w:themeColor="text1"/>
        </w:rPr>
        <w:t xml:space="preserve">CONASEV </w:t>
      </w:r>
      <w:proofErr w:type="spellStart"/>
      <w:r w:rsidRPr="00624C63">
        <w:rPr>
          <w:color w:val="000000" w:themeColor="text1"/>
        </w:rPr>
        <w:t>will</w:t>
      </w:r>
      <w:proofErr w:type="spellEnd"/>
      <w:r w:rsidRPr="00624C63">
        <w:rPr>
          <w:color w:val="000000" w:themeColor="text1"/>
        </w:rPr>
        <w:t xml:space="preserve"> </w:t>
      </w:r>
      <w:proofErr w:type="spellStart"/>
      <w:r w:rsidRPr="00624C63">
        <w:rPr>
          <w:color w:val="000000" w:themeColor="text1"/>
        </w:rPr>
        <w:t>issue</w:t>
      </w:r>
      <w:proofErr w:type="spellEnd"/>
      <w:r w:rsidRPr="00624C63">
        <w:rPr>
          <w:color w:val="000000" w:themeColor="text1"/>
        </w:rPr>
        <w:t xml:space="preserve"> </w:t>
      </w:r>
      <w:proofErr w:type="spellStart"/>
      <w:r w:rsidRPr="00624C63">
        <w:rPr>
          <w:color w:val="000000" w:themeColor="text1"/>
        </w:rPr>
        <w:t>appropriate</w:t>
      </w:r>
      <w:proofErr w:type="spellEnd"/>
      <w:r w:rsidRPr="00624C63">
        <w:rPr>
          <w:color w:val="000000" w:themeColor="text1"/>
        </w:rPr>
        <w:t xml:space="preserve"> </w:t>
      </w:r>
      <w:proofErr w:type="spellStart"/>
      <w:r w:rsidRPr="00624C63">
        <w:rPr>
          <w:color w:val="000000" w:themeColor="text1"/>
        </w:rPr>
        <w:t>regulatory</w:t>
      </w:r>
      <w:proofErr w:type="spellEnd"/>
      <w:r w:rsidRPr="00624C63">
        <w:rPr>
          <w:color w:val="000000" w:themeColor="text1"/>
        </w:rPr>
        <w:t xml:space="preserve"> and control </w:t>
      </w:r>
      <w:proofErr w:type="spellStart"/>
      <w:r w:rsidRPr="00624C63">
        <w:rPr>
          <w:color w:val="000000" w:themeColor="text1"/>
        </w:rPr>
        <w:t>measures</w:t>
      </w:r>
      <w:proofErr w:type="spellEnd"/>
      <w:r w:rsidRPr="00624C63">
        <w:rPr>
          <w:color w:val="000000" w:themeColor="text1"/>
        </w:rPr>
        <w:t>.</w:t>
      </w:r>
    </w:p>
    <w:p w:rsidR="00AF3F68" w:rsidRDefault="00AF3F68" w:rsidP="00A74B5C">
      <w:pPr>
        <w:pStyle w:val="NormalWeb"/>
        <w:spacing w:before="0" w:beforeAutospacing="0" w:after="0" w:afterAutospacing="0"/>
        <w:jc w:val="both"/>
        <w:rPr>
          <w:rFonts w:ascii="Arial Narrow" w:hAnsi="Arial Narrow" w:cs="Arial"/>
          <w:b/>
          <w:bCs/>
          <w:sz w:val="22"/>
          <w:szCs w:val="22"/>
          <w:lang w:val="en-US"/>
        </w:rPr>
      </w:pPr>
    </w:p>
    <w:p w:rsidR="00A74B5C" w:rsidRPr="009943F4" w:rsidRDefault="00A74B5C" w:rsidP="00A74B5C">
      <w:pPr>
        <w:pStyle w:val="NormalWeb"/>
        <w:spacing w:before="0" w:beforeAutospacing="0" w:after="0" w:afterAutospacing="0"/>
        <w:jc w:val="both"/>
        <w:rPr>
          <w:rFonts w:ascii="Arial Narrow" w:hAnsi="Arial Narrow" w:cs="Arial"/>
          <w:b/>
          <w:bCs/>
          <w:sz w:val="22"/>
          <w:szCs w:val="22"/>
          <w:lang w:val="en-US"/>
        </w:rPr>
      </w:pPr>
      <w:r w:rsidRPr="009943F4">
        <w:rPr>
          <w:rFonts w:ascii="Arial Narrow" w:hAnsi="Arial Narrow" w:cs="Arial"/>
          <w:b/>
          <w:bCs/>
          <w:sz w:val="22"/>
          <w:szCs w:val="22"/>
          <w:lang w:val="en-US"/>
        </w:rPr>
        <w:t>TWEL</w:t>
      </w:r>
      <w:r w:rsidR="00646F57">
        <w:rPr>
          <w:rFonts w:ascii="Arial Narrow" w:hAnsi="Arial Narrow" w:cs="Arial"/>
          <w:b/>
          <w:bCs/>
          <w:sz w:val="22"/>
          <w:szCs w:val="22"/>
          <w:lang w:val="en-US"/>
        </w:rPr>
        <w:t>F</w:t>
      </w:r>
      <w:r w:rsidRPr="009943F4">
        <w:rPr>
          <w:rFonts w:ascii="Arial Narrow" w:hAnsi="Arial Narrow" w:cs="Arial"/>
          <w:b/>
          <w:bCs/>
          <w:sz w:val="22"/>
          <w:szCs w:val="22"/>
          <w:lang w:val="en-US"/>
        </w:rPr>
        <w:t xml:space="preserve">TH – Modifications to the </w:t>
      </w:r>
      <w:r w:rsidR="00BB26CC" w:rsidRPr="009943F4">
        <w:rPr>
          <w:rFonts w:ascii="Arial Narrow" w:hAnsi="Arial Narrow" w:cs="Arial"/>
          <w:b/>
          <w:bCs/>
          <w:sz w:val="22"/>
          <w:szCs w:val="22"/>
          <w:lang w:val="en-US"/>
        </w:rPr>
        <w:t>Company Act</w:t>
      </w:r>
    </w:p>
    <w:p w:rsidR="00A74B5C" w:rsidRPr="000A58B2" w:rsidRDefault="00A74B5C" w:rsidP="00A74B5C">
      <w:pPr>
        <w:pStyle w:val="NormalWeb"/>
        <w:spacing w:before="0" w:beforeAutospacing="0" w:after="0" w:afterAutospacing="0"/>
        <w:jc w:val="both"/>
        <w:rPr>
          <w:rFonts w:ascii="Arial Narrow" w:hAnsi="Arial Narrow" w:cs="Arial"/>
          <w:bCs/>
          <w:sz w:val="22"/>
          <w:szCs w:val="22"/>
          <w:lang w:val="en-US"/>
        </w:rPr>
      </w:pPr>
      <w:r w:rsidRPr="009943F4">
        <w:rPr>
          <w:rFonts w:ascii="Arial Narrow" w:hAnsi="Arial Narrow" w:cs="Arial"/>
          <w:bCs/>
          <w:sz w:val="22"/>
          <w:szCs w:val="22"/>
          <w:lang w:val="en-US"/>
        </w:rPr>
        <w:t xml:space="preserve">Substitute the first paragraph with </w:t>
      </w:r>
      <w:r w:rsidR="009943F4" w:rsidRPr="009943F4">
        <w:rPr>
          <w:rFonts w:ascii="Arial Narrow" w:hAnsi="Arial Narrow" w:cs="Arial"/>
          <w:bCs/>
          <w:sz w:val="22"/>
          <w:szCs w:val="22"/>
          <w:lang w:val="en-US"/>
        </w:rPr>
        <w:t>paragraph number</w:t>
      </w:r>
      <w:r w:rsidRPr="009943F4">
        <w:rPr>
          <w:rFonts w:ascii="Arial Narrow" w:hAnsi="Arial Narrow" w:cs="Arial"/>
          <w:bCs/>
          <w:sz w:val="22"/>
          <w:szCs w:val="22"/>
          <w:lang w:val="en-US"/>
        </w:rPr>
        <w:t xml:space="preserve"> 5 of Article 253 of the Second Title of the Seventh Section of Book II of law No. 26887, </w:t>
      </w:r>
      <w:r w:rsidR="00BB26CC" w:rsidRPr="009943F4">
        <w:rPr>
          <w:rFonts w:ascii="Arial Narrow" w:hAnsi="Arial Narrow" w:cs="Arial"/>
          <w:bCs/>
          <w:sz w:val="22"/>
          <w:szCs w:val="22"/>
          <w:lang w:val="en-US"/>
        </w:rPr>
        <w:t>Company Act</w:t>
      </w:r>
      <w:r w:rsidRPr="009943F4">
        <w:rPr>
          <w:rFonts w:ascii="Arial Narrow" w:hAnsi="Arial Narrow" w:cs="Arial"/>
          <w:bCs/>
          <w:sz w:val="22"/>
          <w:szCs w:val="22"/>
          <w:lang w:val="en-US"/>
        </w:rPr>
        <w:t>, with the following</w:t>
      </w:r>
      <w:r w:rsidRPr="000A58B2">
        <w:rPr>
          <w:rFonts w:ascii="Arial Narrow" w:hAnsi="Arial Narrow" w:cs="Arial"/>
          <w:bCs/>
          <w:sz w:val="22"/>
          <w:szCs w:val="22"/>
          <w:lang w:val="en-US"/>
        </w:rPr>
        <w:t xml:space="preserve"> texts:</w:t>
      </w:r>
    </w:p>
    <w:p w:rsidR="00A74B5C" w:rsidRPr="000A58B2" w:rsidRDefault="00A74B5C" w:rsidP="00A74B5C">
      <w:pPr>
        <w:pStyle w:val="NormalWeb"/>
        <w:spacing w:before="0" w:beforeAutospacing="0" w:after="0" w:afterAutospacing="0"/>
        <w:jc w:val="both"/>
        <w:rPr>
          <w:rFonts w:ascii="Arial Narrow" w:hAnsi="Arial Narrow" w:cs="Arial"/>
          <w:b/>
          <w:bCs/>
          <w:sz w:val="22"/>
          <w:szCs w:val="22"/>
          <w:lang w:val="en-US"/>
        </w:rPr>
      </w:pPr>
    </w:p>
    <w:p w:rsidR="00A74B5C" w:rsidRPr="000A58B2" w:rsidRDefault="00A74B5C" w:rsidP="00A74B5C">
      <w:pPr>
        <w:pStyle w:val="NormalWeb"/>
        <w:spacing w:before="0" w:beforeAutospacing="0" w:after="0" w:afterAutospacing="0"/>
        <w:jc w:val="both"/>
        <w:rPr>
          <w:rFonts w:ascii="Arial Narrow" w:hAnsi="Arial Narrow" w:cs="Arial"/>
          <w:b/>
          <w:bCs/>
          <w:sz w:val="22"/>
          <w:szCs w:val="22"/>
          <w:lang w:val="en-US"/>
        </w:rPr>
      </w:pPr>
    </w:p>
    <w:p w:rsidR="00A74B5C" w:rsidRPr="000A58B2" w:rsidRDefault="00A74B5C" w:rsidP="00A74B5C">
      <w:pPr>
        <w:pStyle w:val="NormalWeb"/>
        <w:spacing w:before="0" w:beforeAutospacing="0" w:after="0" w:afterAutospacing="0"/>
        <w:jc w:val="both"/>
        <w:rPr>
          <w:rFonts w:ascii="Arial Narrow" w:hAnsi="Arial Narrow" w:cs="Arial"/>
          <w:b/>
          <w:bCs/>
          <w:sz w:val="22"/>
          <w:szCs w:val="22"/>
          <w:lang w:val="en-US"/>
        </w:rPr>
      </w:pPr>
      <w:r w:rsidRPr="000A58B2">
        <w:rPr>
          <w:rFonts w:ascii="Arial Narrow" w:hAnsi="Arial Narrow" w:cs="Arial"/>
          <w:b/>
          <w:bCs/>
          <w:sz w:val="22"/>
          <w:szCs w:val="22"/>
          <w:lang w:val="en-US"/>
        </w:rPr>
        <w:t>Article 253 – CONASEV control</w:t>
      </w:r>
    </w:p>
    <w:p w:rsidR="00A74B5C" w:rsidRPr="000A58B2" w:rsidRDefault="00A74B5C" w:rsidP="00A74B5C">
      <w:pPr>
        <w:pStyle w:val="NormalWeb"/>
        <w:spacing w:before="0" w:beforeAutospacing="0" w:after="0" w:afterAutospacing="0"/>
        <w:jc w:val="both"/>
        <w:rPr>
          <w:rFonts w:ascii="Arial Narrow" w:hAnsi="Arial Narrow" w:cs="Arial"/>
          <w:bCs/>
          <w:sz w:val="22"/>
          <w:szCs w:val="22"/>
          <w:lang w:val="en-US"/>
        </w:rPr>
      </w:pPr>
      <w:r w:rsidRPr="000A58B2">
        <w:rPr>
          <w:rFonts w:ascii="Arial Narrow" w:hAnsi="Arial Narrow" w:cs="Arial"/>
          <w:bCs/>
          <w:sz w:val="22"/>
          <w:szCs w:val="22"/>
          <w:lang w:val="en-US"/>
        </w:rPr>
        <w:t>The National Supervisory Committee of Companies and Securities is in charge of supervising and controlling open stock companies, and has the power to regulate the provisions relative to these companies contained in this Section, and whose supervision and control is their responsibility. In this regard and in addition to the powers highlighted in this section, it contains the following: (…)</w:t>
      </w:r>
    </w:p>
    <w:p w:rsidR="00A74B5C" w:rsidRPr="000A58B2" w:rsidRDefault="00A74B5C" w:rsidP="00A74B5C">
      <w:pPr>
        <w:pStyle w:val="NormalWeb"/>
        <w:spacing w:before="0" w:beforeAutospacing="0" w:after="0" w:afterAutospacing="0"/>
        <w:jc w:val="both"/>
        <w:rPr>
          <w:rFonts w:ascii="Arial Narrow" w:hAnsi="Arial Narrow" w:cs="Arial"/>
          <w:b/>
          <w:bCs/>
          <w:sz w:val="22"/>
          <w:szCs w:val="22"/>
          <w:lang w:val="en-US"/>
        </w:rPr>
      </w:pPr>
    </w:p>
    <w:p w:rsidR="00A74B5C" w:rsidRPr="000A58B2" w:rsidRDefault="00A74B5C" w:rsidP="00A74B5C">
      <w:pPr>
        <w:pStyle w:val="NormalWeb"/>
        <w:spacing w:before="0" w:beforeAutospacing="0" w:after="0" w:afterAutospacing="0"/>
        <w:jc w:val="both"/>
        <w:rPr>
          <w:rFonts w:ascii="Arial Narrow" w:hAnsi="Arial Narrow"/>
          <w:sz w:val="22"/>
          <w:szCs w:val="22"/>
          <w:lang w:val="en-US"/>
        </w:rPr>
      </w:pPr>
    </w:p>
    <w:p w:rsidR="00A74B5C" w:rsidRPr="000A58B2" w:rsidRDefault="00A74B5C" w:rsidP="00A74B5C">
      <w:pPr>
        <w:pStyle w:val="NormalWeb"/>
        <w:spacing w:before="0" w:beforeAutospacing="0" w:after="0" w:afterAutospacing="0"/>
        <w:jc w:val="both"/>
        <w:rPr>
          <w:rFonts w:ascii="Arial Narrow" w:hAnsi="Arial Narrow"/>
          <w:sz w:val="22"/>
          <w:szCs w:val="22"/>
          <w:lang w:val="en-US"/>
        </w:rPr>
      </w:pPr>
      <w:r w:rsidRPr="000A58B2">
        <w:rPr>
          <w:rFonts w:ascii="Arial Narrow" w:hAnsi="Arial Narrow"/>
          <w:sz w:val="22"/>
          <w:szCs w:val="22"/>
          <w:lang w:val="en-US"/>
        </w:rPr>
        <w:t>5. Determine the violations to the powers contained in this Section, as well as to the rules that CONASEV issued, in accordance with what is presented in this article regarding punishable conducts, as well as how to implement these sanctions.</w:t>
      </w:r>
    </w:p>
    <w:p w:rsidR="00A74B5C" w:rsidRPr="000A58B2" w:rsidRDefault="00A74B5C" w:rsidP="00A74B5C">
      <w:pPr>
        <w:pStyle w:val="NormalWeb"/>
        <w:spacing w:before="0" w:beforeAutospacing="0" w:after="0" w:afterAutospacing="0"/>
        <w:jc w:val="both"/>
        <w:rPr>
          <w:rFonts w:ascii="Arial Narrow" w:hAnsi="Arial Narrow"/>
          <w:sz w:val="22"/>
          <w:szCs w:val="22"/>
          <w:lang w:val="en-US"/>
        </w:rPr>
      </w:pPr>
    </w:p>
    <w:p w:rsidR="00E93395" w:rsidRDefault="00E93395" w:rsidP="001E5A86"/>
    <w:p w:rsidR="001E5A86" w:rsidRDefault="001E5A86" w:rsidP="001E5A86"/>
    <w:p w:rsidR="00A74B5C" w:rsidRPr="00596737" w:rsidRDefault="00A74B5C" w:rsidP="00DD2779">
      <w:pPr>
        <w:pStyle w:val="Ttulo1"/>
        <w:rPr>
          <w:u w:val="single"/>
        </w:rPr>
      </w:pPr>
      <w:bookmarkStart w:id="63" w:name="_Toc440563174"/>
      <w:bookmarkStart w:id="64" w:name="_Toc440563716"/>
      <w:r w:rsidRPr="00596737">
        <w:rPr>
          <w:u w:val="single"/>
        </w:rPr>
        <w:t>LEGISLATIVE DECREE No. 1061: Approve modifications to the Securities Exchange Act, Legislative Decree No. 861</w:t>
      </w:r>
      <w:bookmarkEnd w:id="63"/>
      <w:bookmarkEnd w:id="64"/>
    </w:p>
    <w:p w:rsidR="00596737" w:rsidRPr="000A58B2" w:rsidRDefault="00596737" w:rsidP="00596737">
      <w:pPr>
        <w:pStyle w:val="NormalWeb"/>
        <w:rPr>
          <w:rFonts w:ascii="Arial Narrow" w:hAnsi="Arial Narrow"/>
          <w:b/>
          <w:bCs/>
          <w:sz w:val="22"/>
          <w:szCs w:val="22"/>
          <w:lang w:val="en-US"/>
        </w:rPr>
      </w:pPr>
      <w:proofErr w:type="gramStart"/>
      <w:r w:rsidRPr="000A58B2">
        <w:rPr>
          <w:rFonts w:ascii="Arial Narrow" w:hAnsi="Arial Narrow"/>
          <w:b/>
          <w:bCs/>
          <w:sz w:val="22"/>
          <w:szCs w:val="22"/>
          <w:lang w:val="en-US"/>
        </w:rPr>
        <w:t>F</w:t>
      </w:r>
      <w:r>
        <w:rPr>
          <w:rFonts w:ascii="Arial Narrow" w:hAnsi="Arial Narrow"/>
          <w:b/>
          <w:bCs/>
          <w:sz w:val="22"/>
          <w:szCs w:val="22"/>
          <w:lang w:val="en-US"/>
        </w:rPr>
        <w:t>inal  Complementary</w:t>
      </w:r>
      <w:proofErr w:type="gramEnd"/>
      <w:r>
        <w:rPr>
          <w:rFonts w:ascii="Arial Narrow" w:hAnsi="Arial Narrow"/>
          <w:b/>
          <w:bCs/>
          <w:sz w:val="22"/>
          <w:szCs w:val="22"/>
          <w:lang w:val="en-US"/>
        </w:rPr>
        <w:t xml:space="preserve"> Provisions</w:t>
      </w:r>
    </w:p>
    <w:p w:rsidR="00A74B5C" w:rsidRPr="000A58B2" w:rsidRDefault="00A74B5C" w:rsidP="00A74B5C">
      <w:pPr>
        <w:spacing w:before="100" w:beforeAutospacing="1" w:afterAutospacing="1"/>
        <w:rPr>
          <w:rFonts w:cs="Arial"/>
          <w:b/>
          <w:bCs/>
          <w:szCs w:val="22"/>
          <w:lang w:val="en-US"/>
        </w:rPr>
      </w:pPr>
      <w:r w:rsidRPr="000A58B2">
        <w:rPr>
          <w:rFonts w:cs="Arial"/>
          <w:b/>
          <w:bCs/>
          <w:szCs w:val="22"/>
          <w:lang w:val="en-US"/>
        </w:rPr>
        <w:t xml:space="preserve">FOURTH – Modifications to the </w:t>
      </w:r>
      <w:r w:rsidR="00BB26CC">
        <w:rPr>
          <w:rFonts w:cs="Arial"/>
          <w:b/>
          <w:bCs/>
          <w:szCs w:val="22"/>
          <w:lang w:val="en-US"/>
        </w:rPr>
        <w:t>Company Act</w:t>
      </w:r>
    </w:p>
    <w:p w:rsidR="00A74B5C" w:rsidRPr="000A58B2" w:rsidRDefault="00A74B5C" w:rsidP="00A74B5C">
      <w:pPr>
        <w:spacing w:before="100" w:beforeAutospacing="1" w:afterAutospacing="1"/>
        <w:rPr>
          <w:rFonts w:cs="Arial"/>
          <w:szCs w:val="22"/>
          <w:lang w:val="en-US"/>
        </w:rPr>
      </w:pPr>
      <w:r w:rsidRPr="000A58B2">
        <w:rPr>
          <w:rFonts w:cs="Arial"/>
          <w:szCs w:val="22"/>
          <w:lang w:val="en-US"/>
        </w:rPr>
        <w:t xml:space="preserve">Add to Article 21-A, to the first and penultimate paragraphs of article 262-A, Articles 262-C, 262-E, and 262-I of the </w:t>
      </w:r>
      <w:r w:rsidR="00BB26CC">
        <w:rPr>
          <w:rFonts w:cs="Arial"/>
          <w:szCs w:val="22"/>
          <w:lang w:val="en-US"/>
        </w:rPr>
        <w:t>Company Act</w:t>
      </w:r>
      <w:r w:rsidRPr="000A58B2">
        <w:rPr>
          <w:rFonts w:cs="Arial"/>
          <w:szCs w:val="22"/>
          <w:lang w:val="en-US"/>
        </w:rPr>
        <w:t xml:space="preserve">, modify the second paragraph of Article 97 and Article 255 with, </w:t>
      </w:r>
      <w:r w:rsidR="00A263CC">
        <w:rPr>
          <w:rFonts w:cs="Arial"/>
          <w:szCs w:val="22"/>
          <w:lang w:val="en-US"/>
        </w:rPr>
        <w:t>Law</w:t>
      </w:r>
      <w:r w:rsidRPr="000A58B2">
        <w:rPr>
          <w:rFonts w:cs="Arial"/>
          <w:szCs w:val="22"/>
          <w:lang w:val="en-US"/>
        </w:rPr>
        <w:t xml:space="preserve"> No. 26886,  whose texts will be written in the following way:</w:t>
      </w:r>
    </w:p>
    <w:p w:rsidR="00A74B5C" w:rsidRPr="000A58B2" w:rsidRDefault="00A74B5C" w:rsidP="00A74B5C">
      <w:pPr>
        <w:spacing w:before="100" w:beforeAutospacing="1" w:afterAutospacing="1"/>
        <w:rPr>
          <w:rFonts w:cs="Arial"/>
          <w:b/>
          <w:bCs/>
          <w:szCs w:val="22"/>
          <w:lang w:val="en-US"/>
        </w:rPr>
      </w:pPr>
      <w:r w:rsidRPr="000A58B2">
        <w:rPr>
          <w:rFonts w:cs="Arial"/>
          <w:b/>
          <w:bCs/>
          <w:szCs w:val="22"/>
          <w:lang w:val="en-US"/>
        </w:rPr>
        <w:t>Article 21-A – Voting by mail or Internet</w:t>
      </w:r>
    </w:p>
    <w:p w:rsidR="00A74B5C" w:rsidRPr="000A58B2" w:rsidRDefault="00A74B5C" w:rsidP="00A74B5C">
      <w:pPr>
        <w:spacing w:before="100" w:beforeAutospacing="1" w:afterAutospacing="1"/>
        <w:rPr>
          <w:rFonts w:cs="Arial"/>
          <w:szCs w:val="22"/>
          <w:lang w:val="en-US"/>
        </w:rPr>
      </w:pPr>
      <w:r w:rsidRPr="009943F4">
        <w:rPr>
          <w:rFonts w:cs="Arial"/>
          <w:szCs w:val="22"/>
          <w:lang w:val="en-US"/>
        </w:rPr>
        <w:lastRenderedPageBreak/>
        <w:t>Shareholders or partners may, for the purpose of achieving quorum and for voting and passing resolutions, exercise their right to vote by electronic means provided that it requires digital signatures, or by postal mail for which it is necessary to have notarized</w:t>
      </w:r>
      <w:r w:rsidRPr="000A58B2">
        <w:rPr>
          <w:rFonts w:cs="Arial"/>
          <w:szCs w:val="22"/>
          <w:lang w:val="en-US"/>
        </w:rPr>
        <w:t xml:space="preserve"> signatures.</w:t>
      </w:r>
    </w:p>
    <w:p w:rsidR="00A74B5C" w:rsidRPr="000A58B2" w:rsidRDefault="00A74B5C" w:rsidP="00A74B5C">
      <w:pPr>
        <w:spacing w:before="100" w:beforeAutospacing="1" w:afterAutospacing="1"/>
        <w:rPr>
          <w:rFonts w:cs="Arial"/>
          <w:szCs w:val="22"/>
          <w:lang w:val="en-US"/>
        </w:rPr>
      </w:pPr>
      <w:r w:rsidRPr="000A58B2">
        <w:rPr>
          <w:rFonts w:cs="Arial"/>
          <w:szCs w:val="22"/>
          <w:lang w:val="en-US"/>
        </w:rPr>
        <w:t>When using a digital signature in order to vote electronically, the resulting electronic form must be stored in digital microform, according to the law.</w:t>
      </w:r>
    </w:p>
    <w:p w:rsidR="00A74B5C" w:rsidRPr="009943F4" w:rsidRDefault="00A74B5C" w:rsidP="00A74B5C">
      <w:pPr>
        <w:spacing w:before="100" w:beforeAutospacing="1" w:afterAutospacing="1"/>
        <w:rPr>
          <w:rFonts w:cs="Arial"/>
          <w:szCs w:val="22"/>
          <w:lang w:val="en-US"/>
        </w:rPr>
      </w:pPr>
      <w:r w:rsidRPr="000A58B2">
        <w:rPr>
          <w:rFonts w:cs="Arial"/>
          <w:szCs w:val="22"/>
          <w:lang w:val="en-US"/>
        </w:rPr>
        <w:t xml:space="preserve">After applying these forms of voting, the company must ensure the right to intervene of every shareholder or partner. </w:t>
      </w:r>
      <w:r w:rsidRPr="009943F4">
        <w:rPr>
          <w:rFonts w:cs="Arial"/>
          <w:szCs w:val="22"/>
          <w:lang w:val="en-US"/>
        </w:rPr>
        <w:t>This responsibility to fulfill this provision lies on the Chairman.</w:t>
      </w:r>
    </w:p>
    <w:p w:rsidR="00A74B5C" w:rsidRPr="009943F4" w:rsidRDefault="00A74B5C" w:rsidP="00A74B5C">
      <w:pPr>
        <w:spacing w:before="100" w:beforeAutospacing="1" w:afterAutospacing="1"/>
        <w:rPr>
          <w:rFonts w:cs="Arial"/>
          <w:szCs w:val="22"/>
          <w:lang w:val="en-US"/>
        </w:rPr>
      </w:pPr>
      <w:r w:rsidRPr="009943F4">
        <w:rPr>
          <w:rFonts w:cs="Arial"/>
          <w:szCs w:val="22"/>
          <w:lang w:val="en-US"/>
        </w:rPr>
        <w:t>The decisions of a universal assembly or board, as well as the corporate decisions made through voting or postal mail, have the same effects as those made during an in-person meeting.</w:t>
      </w:r>
    </w:p>
    <w:p w:rsidR="00A74B5C" w:rsidRPr="000A58B2" w:rsidRDefault="00A74B5C" w:rsidP="00A74B5C">
      <w:pPr>
        <w:spacing w:before="100" w:beforeAutospacing="1" w:afterAutospacing="1"/>
        <w:rPr>
          <w:rFonts w:cs="Arial"/>
          <w:b/>
          <w:bCs/>
          <w:szCs w:val="22"/>
          <w:lang w:val="en-US"/>
        </w:rPr>
      </w:pPr>
      <w:r w:rsidRPr="009943F4">
        <w:rPr>
          <w:rFonts w:cs="Arial"/>
          <w:b/>
          <w:bCs/>
          <w:szCs w:val="22"/>
          <w:lang w:val="en-US"/>
        </w:rPr>
        <w:t xml:space="preserve">Article 97 – Preference to </w:t>
      </w:r>
      <w:r w:rsidR="00B31A5E">
        <w:rPr>
          <w:rFonts w:cs="Arial"/>
          <w:b/>
          <w:bCs/>
          <w:szCs w:val="22"/>
          <w:lang w:val="en-US"/>
        </w:rPr>
        <w:t>non-voting</w:t>
      </w:r>
      <w:r w:rsidR="009943F4">
        <w:rPr>
          <w:rFonts w:cs="Arial"/>
          <w:b/>
          <w:bCs/>
          <w:szCs w:val="22"/>
          <w:lang w:val="en-US"/>
        </w:rPr>
        <w:t xml:space="preserve"> </w:t>
      </w:r>
      <w:r w:rsidRPr="009943F4">
        <w:rPr>
          <w:rFonts w:cs="Arial"/>
          <w:b/>
          <w:bCs/>
          <w:szCs w:val="22"/>
          <w:lang w:val="en-US"/>
        </w:rPr>
        <w:t xml:space="preserve">stocks </w:t>
      </w:r>
    </w:p>
    <w:p w:rsidR="00A74B5C" w:rsidRPr="000A58B2" w:rsidRDefault="00A74B5C" w:rsidP="00A74B5C">
      <w:pPr>
        <w:spacing w:before="100" w:beforeAutospacing="1" w:afterAutospacing="1"/>
        <w:rPr>
          <w:rFonts w:cs="Arial"/>
          <w:szCs w:val="22"/>
          <w:lang w:val="en-US"/>
        </w:rPr>
      </w:pPr>
      <w:r w:rsidRPr="000A58B2">
        <w:rPr>
          <w:rFonts w:cs="Arial"/>
          <w:szCs w:val="22"/>
          <w:lang w:val="en-US"/>
        </w:rPr>
        <w:t>In the existence of distributable profits, the company is forced to distribute the preferential dividends that the previous paragraph mentions, without needing prior board agreement.</w:t>
      </w:r>
    </w:p>
    <w:p w:rsidR="00A74B5C" w:rsidRPr="000A58B2" w:rsidRDefault="00A74B5C" w:rsidP="00A74B5C">
      <w:pPr>
        <w:spacing w:before="100" w:beforeAutospacing="1" w:afterAutospacing="1"/>
        <w:rPr>
          <w:rFonts w:cs="Arial"/>
          <w:szCs w:val="22"/>
          <w:lang w:val="en-US"/>
        </w:rPr>
      </w:pPr>
      <w:r w:rsidRPr="000A58B2">
        <w:rPr>
          <w:rFonts w:cs="Arial"/>
          <w:szCs w:val="22"/>
          <w:lang w:val="en-US"/>
        </w:rPr>
        <w:t xml:space="preserve"> (…).” </w:t>
      </w:r>
    </w:p>
    <w:p w:rsidR="00A74B5C" w:rsidRPr="000A58B2" w:rsidRDefault="00A74B5C" w:rsidP="00A74B5C">
      <w:pPr>
        <w:spacing w:before="100" w:beforeAutospacing="1" w:afterAutospacing="1"/>
        <w:rPr>
          <w:rFonts w:cs="Arial"/>
          <w:b/>
          <w:bCs/>
          <w:szCs w:val="22"/>
          <w:lang w:val="en-US"/>
        </w:rPr>
      </w:pPr>
      <w:r w:rsidRPr="000A58B2">
        <w:rPr>
          <w:rFonts w:cs="Arial"/>
          <w:b/>
          <w:bCs/>
          <w:szCs w:val="22"/>
          <w:lang w:val="en-US"/>
        </w:rPr>
        <w:t>Article 262-A – Minority shareholder protection procedures</w:t>
      </w:r>
    </w:p>
    <w:p w:rsidR="00A74B5C" w:rsidRPr="000A58B2" w:rsidRDefault="00A74B5C" w:rsidP="00A74B5C">
      <w:pPr>
        <w:spacing w:before="100" w:beforeAutospacing="1" w:afterAutospacing="1"/>
        <w:rPr>
          <w:rFonts w:cs="Arial"/>
          <w:szCs w:val="22"/>
          <w:lang w:val="en-US"/>
        </w:rPr>
      </w:pPr>
      <w:r w:rsidRPr="000A58B2">
        <w:rPr>
          <w:rFonts w:cs="Arial"/>
          <w:szCs w:val="22"/>
          <w:lang w:val="en-US"/>
        </w:rPr>
        <w:t>With the purpose of protecting the rights of minority shareholders, the company must disclose, in a period no greater than sixty (60) days from the Mandatory Annual Meeting or the expiry of the period referred to in Article 114 – whichever comes first – the following:</w:t>
      </w:r>
    </w:p>
    <w:p w:rsidR="00A74B5C" w:rsidRPr="000A58B2" w:rsidRDefault="00A74B5C" w:rsidP="00A74B5C">
      <w:pPr>
        <w:spacing w:before="100" w:beforeAutospacing="1" w:afterAutospacing="1"/>
        <w:rPr>
          <w:rFonts w:cs="Arial"/>
          <w:szCs w:val="22"/>
          <w:lang w:val="en-US"/>
        </w:rPr>
      </w:pPr>
      <w:r w:rsidRPr="000A58B2">
        <w:rPr>
          <w:rFonts w:cs="Arial"/>
          <w:szCs w:val="22"/>
          <w:lang w:val="en-US"/>
        </w:rPr>
        <w:t xml:space="preserve">This disclosure must be published on the company’s webpage, if it has one, and on CONASEV’s stock market portal. Additionally, other methods of </w:t>
      </w:r>
      <w:r w:rsidR="00B31A5E">
        <w:rPr>
          <w:rFonts w:cs="Arial"/>
          <w:szCs w:val="22"/>
          <w:lang w:val="en-US"/>
        </w:rPr>
        <w:t>mass media advertising</w:t>
      </w:r>
      <w:r w:rsidR="00B31A5E" w:rsidRPr="000A58B2">
        <w:rPr>
          <w:rFonts w:cs="Arial"/>
          <w:szCs w:val="22"/>
          <w:lang w:val="en-US"/>
        </w:rPr>
        <w:t xml:space="preserve"> </w:t>
      </w:r>
      <w:r w:rsidRPr="000A58B2">
        <w:rPr>
          <w:rFonts w:cs="Arial"/>
          <w:szCs w:val="22"/>
          <w:lang w:val="en-US"/>
        </w:rPr>
        <w:t>may be used.</w:t>
      </w:r>
    </w:p>
    <w:p w:rsidR="00A74B5C" w:rsidRPr="000A58B2" w:rsidRDefault="00A74B5C" w:rsidP="00A74B5C">
      <w:pPr>
        <w:spacing w:before="100" w:beforeAutospacing="1" w:afterAutospacing="1"/>
        <w:rPr>
          <w:rFonts w:cs="Arial"/>
          <w:szCs w:val="22"/>
          <w:lang w:val="en-US"/>
        </w:rPr>
      </w:pPr>
      <w:r w:rsidRPr="000A58B2">
        <w:rPr>
          <w:rFonts w:cs="Arial"/>
          <w:szCs w:val="22"/>
          <w:lang w:val="en-US"/>
        </w:rPr>
        <w:t xml:space="preserve"> (…)” </w:t>
      </w:r>
    </w:p>
    <w:p w:rsidR="00A74B5C" w:rsidRPr="000A58B2" w:rsidRDefault="00A74B5C" w:rsidP="00A74B5C">
      <w:pPr>
        <w:spacing w:before="100" w:beforeAutospacing="1" w:afterAutospacing="1"/>
        <w:rPr>
          <w:rFonts w:cs="Arial"/>
          <w:b/>
          <w:bCs/>
          <w:szCs w:val="22"/>
          <w:lang w:val="en-US"/>
        </w:rPr>
      </w:pPr>
      <w:r w:rsidRPr="000A58B2">
        <w:rPr>
          <w:rFonts w:cs="Arial"/>
          <w:b/>
          <w:bCs/>
          <w:szCs w:val="22"/>
          <w:lang w:val="en-US"/>
        </w:rPr>
        <w:t xml:space="preserve">Article 262-E – Dissemination costs </w:t>
      </w:r>
    </w:p>
    <w:p w:rsidR="00A74B5C" w:rsidRPr="000A58B2" w:rsidRDefault="00A74B5C" w:rsidP="00A74B5C">
      <w:pPr>
        <w:spacing w:before="100" w:beforeAutospacing="1" w:afterAutospacing="1"/>
        <w:rPr>
          <w:rFonts w:cs="Arial"/>
          <w:szCs w:val="22"/>
          <w:lang w:val="en-US"/>
        </w:rPr>
      </w:pPr>
      <w:r w:rsidRPr="000A58B2">
        <w:rPr>
          <w:rFonts w:cs="Arial"/>
          <w:szCs w:val="22"/>
          <w:lang w:val="en-US"/>
        </w:rPr>
        <w:t xml:space="preserve"> (…) </w:t>
      </w:r>
    </w:p>
    <w:p w:rsidR="00A74B5C" w:rsidRPr="000A58B2" w:rsidRDefault="00A74B5C" w:rsidP="00A74B5C">
      <w:pPr>
        <w:spacing w:before="100" w:beforeAutospacing="1" w:afterAutospacing="1"/>
        <w:rPr>
          <w:rFonts w:cs="Arial"/>
          <w:szCs w:val="22"/>
          <w:lang w:val="en-US"/>
        </w:rPr>
      </w:pPr>
      <w:r w:rsidRPr="000A58B2">
        <w:rPr>
          <w:rFonts w:cs="Arial"/>
          <w:szCs w:val="22"/>
          <w:lang w:val="en-US"/>
        </w:rPr>
        <w:t xml:space="preserve">The deduction of expenses must be made no later </w:t>
      </w:r>
      <w:proofErr w:type="spellStart"/>
      <w:r w:rsidRPr="000A58B2">
        <w:rPr>
          <w:rFonts w:cs="Arial"/>
          <w:szCs w:val="22"/>
          <w:lang w:val="en-US"/>
        </w:rPr>
        <w:t>then</w:t>
      </w:r>
      <w:proofErr w:type="spellEnd"/>
      <w:r w:rsidRPr="000A58B2">
        <w:rPr>
          <w:rFonts w:cs="Arial"/>
          <w:szCs w:val="22"/>
          <w:lang w:val="en-US"/>
        </w:rPr>
        <w:t xml:space="preserve"> fifteen (15) days following the dissemination, if not it will be presumed, if there is no contradictory proof, that the dissemination costs were met by the company.”</w:t>
      </w:r>
    </w:p>
    <w:p w:rsidR="00A74B5C" w:rsidRPr="000A58B2" w:rsidRDefault="00A74B5C" w:rsidP="00A74B5C">
      <w:pPr>
        <w:spacing w:before="100" w:beforeAutospacing="1" w:afterAutospacing="1"/>
        <w:rPr>
          <w:rFonts w:cs="Arial"/>
          <w:b/>
          <w:bCs/>
          <w:szCs w:val="22"/>
          <w:lang w:val="en-US"/>
        </w:rPr>
      </w:pPr>
      <w:proofErr w:type="gramStart"/>
      <w:r w:rsidRPr="000A58B2">
        <w:rPr>
          <w:rFonts w:cs="Arial"/>
          <w:b/>
          <w:bCs/>
          <w:szCs w:val="22"/>
          <w:lang w:val="en-US"/>
        </w:rPr>
        <w:t>Article 262-I – Obligation of the trustees to conduct disseminations in order to protect minority shareholders.</w:t>
      </w:r>
      <w:proofErr w:type="gramEnd"/>
    </w:p>
    <w:p w:rsidR="00A74B5C" w:rsidRPr="000A58B2" w:rsidRDefault="00A74B5C" w:rsidP="00A74B5C">
      <w:pPr>
        <w:spacing w:before="100" w:beforeAutospacing="1" w:afterAutospacing="1"/>
        <w:rPr>
          <w:rFonts w:cs="Arial"/>
          <w:szCs w:val="22"/>
          <w:lang w:val="en-US"/>
        </w:rPr>
      </w:pPr>
      <w:r w:rsidRPr="000A58B2">
        <w:rPr>
          <w:rFonts w:cs="Arial"/>
          <w:szCs w:val="22"/>
          <w:lang w:val="en-US"/>
        </w:rPr>
        <w:t xml:space="preserve">The trustees of assets constituted under the provisions of subchapter II of Title III, Section II, </w:t>
      </w:r>
      <w:r w:rsidR="00A263CC">
        <w:rPr>
          <w:rFonts w:cs="Arial"/>
          <w:szCs w:val="22"/>
          <w:lang w:val="en-US"/>
        </w:rPr>
        <w:t>Law</w:t>
      </w:r>
      <w:r w:rsidRPr="000A58B2">
        <w:rPr>
          <w:rFonts w:cs="Arial"/>
          <w:szCs w:val="22"/>
          <w:lang w:val="en-US"/>
        </w:rPr>
        <w:t xml:space="preserve"> No. 26702, General Laws of Financial Systems, of the Insurance Systems and Organic Law of the Superintendence of Banks and Insurance, who have the intentions of protecting shareholder’s </w:t>
      </w:r>
      <w:r w:rsidRPr="00A263CC">
        <w:rPr>
          <w:rFonts w:cs="Arial"/>
          <w:szCs w:val="22"/>
          <w:lang w:val="en-US"/>
        </w:rPr>
        <w:t xml:space="preserve">rights and promoting the delivery of assets and/or dividends to their </w:t>
      </w:r>
      <w:proofErr w:type="spellStart"/>
      <w:r w:rsidRPr="00A263CC">
        <w:rPr>
          <w:rFonts w:cs="Arial"/>
          <w:szCs w:val="22"/>
          <w:lang w:val="en-US"/>
        </w:rPr>
        <w:t>proprietaries</w:t>
      </w:r>
      <w:proofErr w:type="spellEnd"/>
      <w:r w:rsidRPr="00A263CC">
        <w:rPr>
          <w:rFonts w:cs="Arial"/>
          <w:szCs w:val="22"/>
          <w:lang w:val="en-US"/>
        </w:rPr>
        <w:t xml:space="preserve">, are required to disclose, the </w:t>
      </w:r>
      <w:r w:rsidR="009943F4" w:rsidRPr="00A263CC">
        <w:rPr>
          <w:rFonts w:cs="Arial"/>
          <w:szCs w:val="22"/>
          <w:lang w:val="en-US"/>
        </w:rPr>
        <w:t>list</w:t>
      </w:r>
      <w:r w:rsidRPr="00A263CC">
        <w:rPr>
          <w:rFonts w:cs="Arial"/>
          <w:szCs w:val="22"/>
          <w:lang w:val="en-US"/>
        </w:rPr>
        <w:t xml:space="preserve"> of the shareholders who would not have appealed their actions and/or those who would not have charged their dividends, or of those whose actions would have been found to be in a situation of exchange</w:t>
      </w:r>
      <w:r w:rsidRPr="000A58B2">
        <w:rPr>
          <w:rFonts w:cs="Arial"/>
          <w:szCs w:val="22"/>
          <w:lang w:val="en-US"/>
        </w:rPr>
        <w:t xml:space="preserve">. </w:t>
      </w:r>
    </w:p>
    <w:p w:rsidR="00A74B5C" w:rsidRPr="000A58B2" w:rsidRDefault="00A74B5C" w:rsidP="00A74B5C">
      <w:pPr>
        <w:spacing w:before="100" w:beforeAutospacing="1" w:afterAutospacing="1"/>
        <w:rPr>
          <w:rFonts w:cs="Arial"/>
          <w:szCs w:val="22"/>
          <w:lang w:val="en-US"/>
        </w:rPr>
      </w:pPr>
      <w:r w:rsidRPr="000A58B2">
        <w:rPr>
          <w:rFonts w:cs="Arial"/>
          <w:szCs w:val="22"/>
          <w:lang w:val="en-US"/>
        </w:rPr>
        <w:t xml:space="preserve">This disclosure must be made annually and during the second trimester of every year on the company and the trustee’s webpage, as well as on CONASEV’s stock market portal. </w:t>
      </w:r>
    </w:p>
    <w:p w:rsidR="00A74B5C" w:rsidRPr="000A58B2" w:rsidRDefault="00A74B5C" w:rsidP="00A74B5C">
      <w:pPr>
        <w:spacing w:before="100" w:beforeAutospacing="1" w:afterAutospacing="1"/>
        <w:rPr>
          <w:rFonts w:cs="Arial"/>
          <w:szCs w:val="22"/>
          <w:lang w:val="en-US"/>
        </w:rPr>
      </w:pPr>
      <w:r w:rsidRPr="000A58B2">
        <w:rPr>
          <w:rFonts w:cs="Arial"/>
          <w:szCs w:val="22"/>
          <w:lang w:val="en-US"/>
        </w:rPr>
        <w:lastRenderedPageBreak/>
        <w:t>I</w:t>
      </w:r>
      <w:r w:rsidR="00A263CC">
        <w:rPr>
          <w:rFonts w:cs="Arial"/>
          <w:szCs w:val="22"/>
          <w:lang w:val="en-US"/>
        </w:rPr>
        <w:t xml:space="preserve">f the </w:t>
      </w:r>
      <w:r w:rsidRPr="000A58B2">
        <w:rPr>
          <w:rFonts w:cs="Arial"/>
          <w:szCs w:val="22"/>
          <w:lang w:val="en-US"/>
        </w:rPr>
        <w:t>company does not have a webpage it must make this disclosure in the aforementioned Portal.”</w:t>
      </w:r>
    </w:p>
    <w:p w:rsidR="00E93395" w:rsidRDefault="00E93395" w:rsidP="001E5A86">
      <w:bookmarkStart w:id="65" w:name="_Toc440444555"/>
    </w:p>
    <w:p w:rsidR="001E5A86" w:rsidRDefault="001E5A86" w:rsidP="001E5A86"/>
    <w:p w:rsidR="00A74B5C" w:rsidRPr="00736F95" w:rsidRDefault="00A263CC" w:rsidP="00DD2779">
      <w:pPr>
        <w:pStyle w:val="Ttulo1"/>
      </w:pPr>
      <w:bookmarkStart w:id="66" w:name="_Toc440563175"/>
      <w:bookmarkStart w:id="67" w:name="_Toc440563717"/>
      <w:bookmarkEnd w:id="65"/>
      <w:r w:rsidRPr="00596737">
        <w:rPr>
          <w:u w:val="single"/>
        </w:rPr>
        <w:t>LAW</w:t>
      </w:r>
      <w:r w:rsidR="00A74B5C" w:rsidRPr="00596737">
        <w:rPr>
          <w:u w:val="single"/>
        </w:rPr>
        <w:t xml:space="preserve"> No. 29720: Promotes transferable securities and strengthens capital markets</w:t>
      </w:r>
      <w:r w:rsidR="00A74B5C" w:rsidRPr="00736F95">
        <w:t>.</w:t>
      </w:r>
      <w:bookmarkEnd w:id="66"/>
      <w:bookmarkEnd w:id="67"/>
    </w:p>
    <w:p w:rsidR="00A74B5C" w:rsidRPr="000A58B2" w:rsidRDefault="00A74B5C" w:rsidP="00A74B5C">
      <w:pPr>
        <w:pStyle w:val="NormalWeb"/>
        <w:jc w:val="both"/>
        <w:rPr>
          <w:rFonts w:ascii="Arial Narrow" w:hAnsi="Arial Narrow" w:cs="Arial"/>
          <w:b/>
          <w:sz w:val="22"/>
          <w:szCs w:val="22"/>
          <w:lang w:val="en-US"/>
        </w:rPr>
      </w:pPr>
      <w:r w:rsidRPr="000A58B2">
        <w:rPr>
          <w:rFonts w:ascii="Arial Narrow" w:hAnsi="Arial Narrow" w:cs="Arial"/>
          <w:b/>
          <w:sz w:val="22"/>
          <w:szCs w:val="22"/>
          <w:lang w:val="en-US"/>
        </w:rPr>
        <w:t>Article 1 – Increase capital through public offerings</w:t>
      </w:r>
    </w:p>
    <w:p w:rsidR="00A74B5C" w:rsidRPr="000A58B2" w:rsidRDefault="00A74B5C" w:rsidP="00A74B5C">
      <w:pPr>
        <w:pStyle w:val="NormalWeb"/>
        <w:jc w:val="both"/>
        <w:rPr>
          <w:rFonts w:ascii="Arial Narrow" w:hAnsi="Arial Narrow" w:cs="Arial"/>
          <w:sz w:val="22"/>
          <w:szCs w:val="22"/>
          <w:lang w:val="en-US"/>
        </w:rPr>
      </w:pPr>
      <w:r w:rsidRPr="000A58B2">
        <w:rPr>
          <w:rFonts w:ascii="Arial Narrow" w:hAnsi="Arial Narrow" w:cs="Arial"/>
          <w:sz w:val="22"/>
          <w:szCs w:val="22"/>
          <w:lang w:val="en-US"/>
        </w:rPr>
        <w:t xml:space="preserve">Capital increases through IPO’s may issue and transfer stock certificates prior to registration of the corresponding capital increase, so long as the issuance of the shares is subject to payment of one hundred percent of their face value. In said case, the shares can be freely traded without the rules of transfer rights being inapplicable. </w:t>
      </w:r>
    </w:p>
    <w:p w:rsidR="00A74B5C" w:rsidRPr="00A263CC" w:rsidRDefault="00A74B5C" w:rsidP="00A74B5C">
      <w:pPr>
        <w:pStyle w:val="NormalWeb"/>
        <w:jc w:val="both"/>
        <w:rPr>
          <w:rFonts w:ascii="Arial Narrow" w:hAnsi="Arial Narrow" w:cs="Arial"/>
          <w:sz w:val="22"/>
          <w:szCs w:val="22"/>
          <w:lang w:val="en-US"/>
        </w:rPr>
      </w:pPr>
      <w:r w:rsidRPr="00A263CC">
        <w:rPr>
          <w:rFonts w:ascii="Arial Narrow" w:hAnsi="Arial Narrow" w:cs="Arial"/>
          <w:sz w:val="22"/>
          <w:szCs w:val="22"/>
          <w:lang w:val="en-US"/>
        </w:rPr>
        <w:t xml:space="preserve">The registrar has a valid capital increase and must </w:t>
      </w:r>
      <w:r w:rsidR="00A263CC" w:rsidRPr="00A263CC">
        <w:rPr>
          <w:rFonts w:ascii="Arial Narrow" w:hAnsi="Arial Narrow" w:cs="Arial"/>
          <w:sz w:val="22"/>
          <w:szCs w:val="22"/>
          <w:lang w:val="en-US"/>
        </w:rPr>
        <w:t>enter</w:t>
      </w:r>
      <w:r w:rsidRPr="00A263CC">
        <w:rPr>
          <w:rFonts w:ascii="Arial Narrow" w:hAnsi="Arial Narrow" w:cs="Arial"/>
          <w:sz w:val="22"/>
          <w:szCs w:val="22"/>
          <w:lang w:val="en-US"/>
        </w:rPr>
        <w:t xml:space="preserve"> it in the resolution issued by </w:t>
      </w:r>
      <w:r w:rsidR="009D1E25" w:rsidRPr="00A263CC">
        <w:rPr>
          <w:rFonts w:ascii="Arial Narrow" w:hAnsi="Arial Narrow" w:cs="Arial"/>
          <w:sz w:val="22"/>
          <w:szCs w:val="22"/>
          <w:lang w:val="en-US"/>
        </w:rPr>
        <w:t>CONASEV</w:t>
      </w:r>
      <w:r w:rsidRPr="00A263CC">
        <w:rPr>
          <w:rFonts w:ascii="Arial Narrow" w:hAnsi="Arial Narrow" w:cs="Arial"/>
          <w:sz w:val="22"/>
          <w:szCs w:val="22"/>
          <w:lang w:val="en-US"/>
        </w:rPr>
        <w:t>, providing the registration of goods in the stock market public registry.</w:t>
      </w:r>
    </w:p>
    <w:p w:rsidR="00A74B5C" w:rsidRPr="000A58B2" w:rsidRDefault="00A263CC" w:rsidP="00A74B5C">
      <w:pPr>
        <w:pStyle w:val="NormalWeb"/>
        <w:jc w:val="both"/>
        <w:rPr>
          <w:rFonts w:ascii="Arial Narrow" w:hAnsi="Arial Narrow" w:cs="Arial"/>
          <w:sz w:val="22"/>
          <w:szCs w:val="22"/>
          <w:lang w:val="en-US"/>
        </w:rPr>
      </w:pPr>
      <w:r w:rsidRPr="00A263CC">
        <w:rPr>
          <w:rFonts w:ascii="Arial Narrow" w:hAnsi="Arial Narrow" w:cs="Arial"/>
          <w:sz w:val="22"/>
          <w:szCs w:val="22"/>
          <w:lang w:val="en-US"/>
        </w:rPr>
        <w:t>N</w:t>
      </w:r>
      <w:r w:rsidR="00A74B5C" w:rsidRPr="00A263CC">
        <w:rPr>
          <w:rFonts w:ascii="Arial Narrow" w:hAnsi="Arial Narrow" w:cs="Arial"/>
          <w:sz w:val="22"/>
          <w:szCs w:val="22"/>
          <w:lang w:val="en-US"/>
        </w:rPr>
        <w:t xml:space="preserve">ullity </w:t>
      </w:r>
      <w:r w:rsidRPr="00A263CC">
        <w:rPr>
          <w:rFonts w:ascii="Arial Narrow" w:hAnsi="Arial Narrow" w:cs="Arial"/>
          <w:sz w:val="22"/>
          <w:szCs w:val="22"/>
          <w:lang w:val="en-US"/>
        </w:rPr>
        <w:t xml:space="preserve">cannot be declare </w:t>
      </w:r>
      <w:r w:rsidR="00A74B5C" w:rsidRPr="00A263CC">
        <w:rPr>
          <w:rFonts w:ascii="Arial Narrow" w:hAnsi="Arial Narrow" w:cs="Arial"/>
          <w:sz w:val="22"/>
          <w:szCs w:val="22"/>
          <w:lang w:val="en-US"/>
        </w:rPr>
        <w:t>by simulation, annulment, or inefficiency because of capital increase fraud when damages could arise for those who would have</w:t>
      </w:r>
      <w:r w:rsidR="00A74B5C" w:rsidRPr="000A58B2">
        <w:rPr>
          <w:rFonts w:ascii="Arial Narrow" w:hAnsi="Arial Narrow" w:cs="Arial"/>
          <w:sz w:val="22"/>
          <w:szCs w:val="22"/>
          <w:lang w:val="en-US"/>
        </w:rPr>
        <w:t xml:space="preserve"> subscribed or acquired goods through a public offering, or that, by subscribing or acquiring them by virtue of private negotiations, would have acted in good faith and suffered little damages.</w:t>
      </w:r>
    </w:p>
    <w:p w:rsidR="00A74B5C" w:rsidRPr="000A58B2" w:rsidRDefault="00A74B5C" w:rsidP="00A74B5C">
      <w:pPr>
        <w:pStyle w:val="NormalWeb"/>
        <w:jc w:val="both"/>
        <w:rPr>
          <w:rFonts w:ascii="Arial Narrow" w:hAnsi="Arial Narrow" w:cs="Arial"/>
          <w:sz w:val="22"/>
          <w:szCs w:val="22"/>
          <w:lang w:val="en-US"/>
        </w:rPr>
      </w:pPr>
      <w:r w:rsidRPr="00A263CC">
        <w:rPr>
          <w:rFonts w:ascii="Arial Narrow" w:hAnsi="Arial Narrow" w:cs="Arial"/>
          <w:sz w:val="22"/>
          <w:szCs w:val="22"/>
          <w:lang w:val="en-US"/>
        </w:rPr>
        <w:t xml:space="preserve">Therefore, the acts </w:t>
      </w:r>
      <w:r w:rsidR="00A263CC">
        <w:rPr>
          <w:rFonts w:ascii="Arial Narrow" w:hAnsi="Arial Narrow" w:cs="Arial"/>
          <w:sz w:val="22"/>
          <w:szCs w:val="22"/>
          <w:lang w:val="en-US"/>
        </w:rPr>
        <w:t>described</w:t>
      </w:r>
      <w:r w:rsidRPr="00A263CC">
        <w:rPr>
          <w:rFonts w:ascii="Arial Narrow" w:hAnsi="Arial Narrow" w:cs="Arial"/>
          <w:sz w:val="22"/>
          <w:szCs w:val="22"/>
          <w:lang w:val="en-US"/>
        </w:rPr>
        <w:t xml:space="preserve"> in this article are not applicable to the provisions that establish nullity of events by a person </w:t>
      </w:r>
      <w:r w:rsidR="00A263CC">
        <w:rPr>
          <w:rFonts w:ascii="Arial Narrow" w:hAnsi="Arial Narrow" w:cs="Arial"/>
          <w:sz w:val="22"/>
          <w:szCs w:val="22"/>
          <w:lang w:val="en-US"/>
        </w:rPr>
        <w:t>during</w:t>
      </w:r>
      <w:r w:rsidRPr="00A263CC">
        <w:rPr>
          <w:rFonts w:ascii="Arial Narrow" w:hAnsi="Arial Narrow" w:cs="Arial"/>
          <w:sz w:val="22"/>
          <w:szCs w:val="22"/>
          <w:lang w:val="en-US"/>
        </w:rPr>
        <w:t xml:space="preserve"> restructuring, extrajudicial liquidation, or bankrupt</w:t>
      </w:r>
      <w:r w:rsidR="00A263CC">
        <w:rPr>
          <w:rFonts w:ascii="Arial Narrow" w:hAnsi="Arial Narrow" w:cs="Arial"/>
          <w:sz w:val="22"/>
          <w:szCs w:val="22"/>
          <w:lang w:val="en-US"/>
        </w:rPr>
        <w:t>cy</w:t>
      </w:r>
      <w:r w:rsidRPr="00A263CC">
        <w:rPr>
          <w:rFonts w:ascii="Arial Narrow" w:hAnsi="Arial Narrow" w:cs="Arial"/>
          <w:sz w:val="22"/>
          <w:szCs w:val="22"/>
          <w:lang w:val="en-US"/>
        </w:rPr>
        <w:t>, contained within the relative rules of the restructuring of company assets in the situations described in the preceding paragraph.</w:t>
      </w:r>
    </w:p>
    <w:p w:rsidR="00A74B5C" w:rsidRPr="000A58B2" w:rsidRDefault="00A74B5C" w:rsidP="00A74B5C">
      <w:pPr>
        <w:pStyle w:val="NormalWeb"/>
        <w:jc w:val="both"/>
        <w:rPr>
          <w:rFonts w:ascii="Arial Narrow" w:hAnsi="Arial Narrow" w:cs="Arial"/>
          <w:b/>
          <w:sz w:val="22"/>
          <w:szCs w:val="22"/>
          <w:lang w:val="en-US"/>
        </w:rPr>
      </w:pPr>
      <w:bookmarkStart w:id="68" w:name="JD_L29720-A2"/>
      <w:bookmarkEnd w:id="68"/>
      <w:r w:rsidRPr="000A58B2">
        <w:rPr>
          <w:rFonts w:ascii="Arial Narrow" w:hAnsi="Arial Narrow" w:cs="Arial"/>
          <w:b/>
          <w:sz w:val="22"/>
          <w:szCs w:val="22"/>
          <w:lang w:val="en-US"/>
        </w:rPr>
        <w:t>Article 2: Bond issuing of public and private provisions</w:t>
      </w:r>
    </w:p>
    <w:p w:rsidR="00A74B5C" w:rsidRPr="000A58B2" w:rsidRDefault="00A74B5C" w:rsidP="00A74B5C">
      <w:pPr>
        <w:pStyle w:val="NormalWeb"/>
        <w:jc w:val="both"/>
        <w:rPr>
          <w:rFonts w:ascii="Arial Narrow" w:hAnsi="Arial Narrow" w:cs="Arial"/>
          <w:sz w:val="22"/>
          <w:szCs w:val="22"/>
          <w:lang w:val="en-US"/>
        </w:rPr>
      </w:pPr>
      <w:r w:rsidRPr="000A58B2">
        <w:rPr>
          <w:rFonts w:ascii="Arial Narrow" w:hAnsi="Arial Narrow" w:cs="Arial"/>
          <w:sz w:val="22"/>
          <w:szCs w:val="22"/>
          <w:lang w:val="en-US"/>
        </w:rPr>
        <w:t xml:space="preserve">The limit established in Article 305 of </w:t>
      </w:r>
      <w:r w:rsidR="00A263CC">
        <w:rPr>
          <w:rFonts w:ascii="Arial Narrow" w:hAnsi="Arial Narrow" w:cs="Arial"/>
          <w:sz w:val="22"/>
          <w:szCs w:val="22"/>
          <w:lang w:val="en-US"/>
        </w:rPr>
        <w:t>Law</w:t>
      </w:r>
      <w:r w:rsidRPr="000A58B2">
        <w:rPr>
          <w:rFonts w:ascii="Arial Narrow" w:hAnsi="Arial Narrow" w:cs="Arial"/>
          <w:sz w:val="22"/>
          <w:szCs w:val="22"/>
          <w:lang w:val="en-US"/>
        </w:rPr>
        <w:t xml:space="preserve"> 26887, </w:t>
      </w:r>
      <w:r w:rsidR="00BB26CC">
        <w:rPr>
          <w:rFonts w:ascii="Arial Narrow" w:hAnsi="Arial Narrow" w:cs="Arial"/>
          <w:sz w:val="22"/>
          <w:szCs w:val="22"/>
          <w:lang w:val="en-US"/>
        </w:rPr>
        <w:t>Company Act</w:t>
      </w:r>
      <w:r w:rsidRPr="000A58B2">
        <w:rPr>
          <w:rFonts w:ascii="Arial Narrow" w:hAnsi="Arial Narrow" w:cs="Arial"/>
          <w:sz w:val="22"/>
          <w:szCs w:val="22"/>
          <w:lang w:val="en-US"/>
        </w:rPr>
        <w:t xml:space="preserve">, is not applicable in cases of bond issuing of primary public offerings and in private offering cases that Article 5 or Legislative Decree 861, </w:t>
      </w:r>
      <w:r w:rsidR="00B31A5E">
        <w:rPr>
          <w:rFonts w:ascii="Arial Narrow" w:hAnsi="Arial Narrow" w:cs="Arial"/>
          <w:sz w:val="22"/>
          <w:szCs w:val="22"/>
          <w:lang w:val="en-US"/>
        </w:rPr>
        <w:t>Stock</w:t>
      </w:r>
      <w:r w:rsidR="00B31A5E" w:rsidRPr="000A58B2">
        <w:rPr>
          <w:rFonts w:ascii="Arial Narrow" w:hAnsi="Arial Narrow" w:cs="Arial"/>
          <w:sz w:val="22"/>
          <w:szCs w:val="22"/>
          <w:lang w:val="en-US"/>
        </w:rPr>
        <w:t xml:space="preserve"> </w:t>
      </w:r>
      <w:r w:rsidRPr="000A58B2">
        <w:rPr>
          <w:rFonts w:ascii="Arial Narrow" w:hAnsi="Arial Narrow" w:cs="Arial"/>
          <w:sz w:val="22"/>
          <w:szCs w:val="22"/>
          <w:lang w:val="en-US"/>
        </w:rPr>
        <w:t>Exchange Act refers to.</w:t>
      </w:r>
    </w:p>
    <w:p w:rsidR="00A74B5C" w:rsidRPr="000A58B2" w:rsidRDefault="00A74B5C" w:rsidP="00A74B5C">
      <w:pPr>
        <w:pStyle w:val="NormalWeb"/>
        <w:jc w:val="both"/>
        <w:rPr>
          <w:rFonts w:ascii="Arial Narrow" w:hAnsi="Arial Narrow" w:cs="Arial"/>
          <w:b/>
          <w:bCs/>
          <w:sz w:val="22"/>
          <w:szCs w:val="22"/>
          <w:lang w:val="en-US"/>
        </w:rPr>
      </w:pPr>
      <w:r w:rsidRPr="000A58B2">
        <w:rPr>
          <w:rFonts w:ascii="Arial Narrow" w:hAnsi="Arial Narrow" w:cs="Arial"/>
          <w:b/>
          <w:bCs/>
          <w:sz w:val="22"/>
          <w:szCs w:val="22"/>
          <w:lang w:val="en-US"/>
        </w:rPr>
        <w:t xml:space="preserve">Article 3: Manager </w:t>
      </w:r>
      <w:proofErr w:type="spellStart"/>
      <w:proofErr w:type="gramStart"/>
      <w:r w:rsidRPr="000A58B2">
        <w:rPr>
          <w:rFonts w:ascii="Arial Narrow" w:hAnsi="Arial Narrow" w:cs="Arial"/>
          <w:b/>
          <w:bCs/>
          <w:sz w:val="22"/>
          <w:szCs w:val="22"/>
          <w:lang w:val="en-US"/>
        </w:rPr>
        <w:t>respons</w:t>
      </w:r>
      <w:r w:rsidR="00646F57">
        <w:rPr>
          <w:rFonts w:ascii="Arial Narrow" w:hAnsi="Arial Narrow" w:cs="Arial"/>
          <w:b/>
          <w:bCs/>
          <w:sz w:val="22"/>
          <w:szCs w:val="22"/>
          <w:lang w:val="en-US"/>
        </w:rPr>
        <w:t>a</w:t>
      </w:r>
      <w:r w:rsidRPr="000A58B2">
        <w:rPr>
          <w:rFonts w:ascii="Arial Narrow" w:hAnsi="Arial Narrow" w:cs="Arial"/>
          <w:b/>
          <w:bCs/>
          <w:sz w:val="22"/>
          <w:szCs w:val="22"/>
          <w:lang w:val="en-US"/>
        </w:rPr>
        <w:t>bility</w:t>
      </w:r>
      <w:proofErr w:type="spellEnd"/>
      <w:proofErr w:type="gramEnd"/>
      <w:r w:rsidRPr="000A58B2">
        <w:rPr>
          <w:rFonts w:ascii="Arial Narrow" w:hAnsi="Arial Narrow" w:cs="Arial"/>
          <w:b/>
          <w:bCs/>
          <w:sz w:val="22"/>
          <w:szCs w:val="22"/>
          <w:lang w:val="en-US"/>
        </w:rPr>
        <w:t xml:space="preserve"> (*)</w:t>
      </w:r>
      <w:r w:rsidR="00646F57">
        <w:rPr>
          <w:rFonts w:ascii="Arial Narrow" w:hAnsi="Arial Narrow" w:cs="Arial"/>
          <w:b/>
          <w:bCs/>
          <w:sz w:val="22"/>
          <w:szCs w:val="22"/>
          <w:lang w:val="en-US"/>
        </w:rPr>
        <w:t xml:space="preserve"> </w:t>
      </w:r>
    </w:p>
    <w:p w:rsidR="00A74B5C" w:rsidRPr="000A58B2" w:rsidRDefault="00A74B5C" w:rsidP="00A74B5C">
      <w:pPr>
        <w:pStyle w:val="NormalWeb"/>
        <w:jc w:val="both"/>
        <w:rPr>
          <w:rFonts w:ascii="Arial Narrow" w:hAnsi="Arial Narrow" w:cs="Arial"/>
          <w:sz w:val="22"/>
          <w:szCs w:val="22"/>
          <w:lang w:val="en-US"/>
        </w:rPr>
      </w:pPr>
      <w:r w:rsidRPr="000A58B2">
        <w:rPr>
          <w:rFonts w:ascii="Arial Narrow" w:hAnsi="Arial Narrow" w:cs="Arial"/>
          <w:sz w:val="22"/>
          <w:szCs w:val="22"/>
          <w:lang w:val="en-US"/>
        </w:rPr>
        <w:t>Managers of issuers with shares of registered capital in the stock market are civilly liable before the public and the shareholders for damages and injuries that they caused by entering</w:t>
      </w:r>
      <w:r w:rsidR="00B31A5E">
        <w:rPr>
          <w:rFonts w:ascii="Arial Narrow" w:hAnsi="Arial Narrow" w:cs="Arial"/>
          <w:sz w:val="22"/>
          <w:szCs w:val="22"/>
          <w:lang w:val="en-US"/>
        </w:rPr>
        <w:t xml:space="preserve"> </w:t>
      </w:r>
      <w:r w:rsidRPr="000A58B2">
        <w:rPr>
          <w:rFonts w:ascii="Arial Narrow" w:hAnsi="Arial Narrow" w:cs="Arial"/>
          <w:sz w:val="22"/>
          <w:szCs w:val="22"/>
          <w:lang w:val="en-US"/>
        </w:rPr>
        <w:t>agreements that do not privilege social interest but rather their own or those of related third parties, with respect to transactions in which the following characteristics are present:</w:t>
      </w:r>
    </w:p>
    <w:p w:rsidR="00A74B5C" w:rsidRPr="000A58B2" w:rsidRDefault="00A74B5C" w:rsidP="00A74B5C">
      <w:pPr>
        <w:pStyle w:val="NormalWeb"/>
        <w:jc w:val="both"/>
        <w:rPr>
          <w:rFonts w:ascii="Arial Narrow" w:hAnsi="Arial Narrow" w:cs="Arial"/>
          <w:sz w:val="22"/>
          <w:szCs w:val="22"/>
          <w:lang w:val="en-US"/>
        </w:rPr>
      </w:pPr>
      <w:r w:rsidRPr="000A58B2">
        <w:rPr>
          <w:rFonts w:ascii="Arial Narrow" w:hAnsi="Arial Narrow" w:cs="Arial"/>
          <w:sz w:val="22"/>
          <w:szCs w:val="22"/>
          <w:lang w:val="en-US"/>
        </w:rPr>
        <w:t>1. One of the parties is the company with registered shares of capital stock in the stock market;</w:t>
      </w:r>
    </w:p>
    <w:p w:rsidR="00A74B5C" w:rsidRPr="000A58B2" w:rsidRDefault="00A74B5C" w:rsidP="00A74B5C">
      <w:pPr>
        <w:pStyle w:val="NormalWeb"/>
        <w:jc w:val="both"/>
        <w:rPr>
          <w:rFonts w:ascii="Arial Narrow" w:hAnsi="Arial Narrow" w:cs="Arial"/>
          <w:sz w:val="22"/>
          <w:szCs w:val="22"/>
          <w:lang w:val="en-US"/>
        </w:rPr>
      </w:pPr>
      <w:r w:rsidRPr="000A58B2">
        <w:rPr>
          <w:rFonts w:ascii="Arial Narrow" w:hAnsi="Arial Narrow" w:cs="Arial"/>
          <w:sz w:val="22"/>
          <w:szCs w:val="22"/>
          <w:lang w:val="en-US"/>
        </w:rPr>
        <w:t>2. The company’s controlling shareholder mentioned in the previous paragraph also has control of the legal person participating in the transaction; and</w:t>
      </w:r>
    </w:p>
    <w:p w:rsidR="00A74B5C" w:rsidRPr="000A58B2" w:rsidRDefault="00A74B5C" w:rsidP="00A74B5C">
      <w:pPr>
        <w:pStyle w:val="NormalWeb"/>
        <w:jc w:val="both"/>
        <w:rPr>
          <w:rFonts w:ascii="Arial Narrow" w:hAnsi="Arial Narrow" w:cs="Arial"/>
          <w:sz w:val="22"/>
          <w:szCs w:val="22"/>
          <w:lang w:val="en-US"/>
        </w:rPr>
      </w:pPr>
      <w:r w:rsidRPr="000A58B2">
        <w:rPr>
          <w:rFonts w:ascii="Arial Narrow" w:hAnsi="Arial Narrow" w:cs="Arial"/>
          <w:sz w:val="22"/>
          <w:szCs w:val="22"/>
          <w:lang w:val="en-US"/>
        </w:rPr>
        <w:t>3. The transaction does not conform to prices, conditions, or terms that prevail in the market at the time of its approval and involves at least ten percent (10%) issuing company’s assets.</w:t>
      </w:r>
    </w:p>
    <w:p w:rsidR="00A74B5C" w:rsidRPr="000A58B2" w:rsidRDefault="00A74B5C" w:rsidP="00A74B5C">
      <w:pPr>
        <w:pStyle w:val="NormalWeb"/>
        <w:jc w:val="both"/>
        <w:rPr>
          <w:rFonts w:ascii="Arial Narrow" w:hAnsi="Arial Narrow" w:cs="Arial"/>
          <w:sz w:val="22"/>
          <w:szCs w:val="22"/>
          <w:lang w:val="en-US"/>
        </w:rPr>
      </w:pPr>
      <w:r w:rsidRPr="000A58B2">
        <w:rPr>
          <w:rFonts w:ascii="Arial Narrow" w:hAnsi="Arial Narrow" w:cs="Arial"/>
          <w:sz w:val="22"/>
          <w:szCs w:val="22"/>
          <w:lang w:val="en-US"/>
        </w:rPr>
        <w:t>The scope of the terms “control” and “related” are those that are defined by the rules of the material approved by the Superintendence of Securities</w:t>
      </w:r>
      <w:r w:rsidR="00B31A5E">
        <w:rPr>
          <w:rFonts w:ascii="Arial Narrow" w:hAnsi="Arial Narrow" w:cs="Arial"/>
          <w:sz w:val="22"/>
          <w:szCs w:val="22"/>
          <w:lang w:val="en-US"/>
        </w:rPr>
        <w:t xml:space="preserve"> Market</w:t>
      </w:r>
      <w:r w:rsidRPr="000A58B2">
        <w:rPr>
          <w:rFonts w:ascii="Arial Narrow" w:hAnsi="Arial Narrow" w:cs="Arial"/>
          <w:sz w:val="22"/>
          <w:szCs w:val="22"/>
          <w:lang w:val="en-US"/>
        </w:rPr>
        <w:t>.</w:t>
      </w:r>
    </w:p>
    <w:p w:rsidR="00A74B5C" w:rsidRPr="000A58B2" w:rsidRDefault="00A74B5C" w:rsidP="00A74B5C">
      <w:pPr>
        <w:pStyle w:val="NormalWeb"/>
        <w:jc w:val="both"/>
        <w:rPr>
          <w:rFonts w:ascii="Arial Narrow" w:hAnsi="Arial Narrow" w:cs="Arial"/>
          <w:sz w:val="22"/>
          <w:szCs w:val="22"/>
          <w:lang w:val="en-US"/>
        </w:rPr>
      </w:pPr>
      <w:r w:rsidRPr="000A58B2">
        <w:rPr>
          <w:rFonts w:ascii="Arial Narrow" w:hAnsi="Arial Narrow" w:cs="Arial"/>
          <w:sz w:val="22"/>
          <w:szCs w:val="22"/>
          <w:lang w:val="en-US"/>
        </w:rPr>
        <w:t>It is left to the judge to determine the damages and injuries caused, without needing to determine the existence of negligence or fraud in the manager’s conduct.</w:t>
      </w:r>
    </w:p>
    <w:p w:rsidR="00A74B5C" w:rsidRPr="000A58B2" w:rsidRDefault="00A74B5C" w:rsidP="00A74B5C">
      <w:pPr>
        <w:pStyle w:val="NormalWeb"/>
        <w:jc w:val="both"/>
        <w:rPr>
          <w:rFonts w:ascii="Arial Narrow" w:hAnsi="Arial Narrow" w:cs="Arial"/>
          <w:sz w:val="22"/>
          <w:szCs w:val="22"/>
          <w:lang w:val="en-US"/>
        </w:rPr>
      </w:pPr>
      <w:r w:rsidRPr="000A58B2">
        <w:rPr>
          <w:rFonts w:ascii="Arial Narrow" w:hAnsi="Arial Narrow" w:cs="Arial"/>
          <w:sz w:val="22"/>
          <w:szCs w:val="22"/>
          <w:lang w:val="en-US"/>
        </w:rPr>
        <w:lastRenderedPageBreak/>
        <w:t>The manager that did not participate in the approval of the transaction is not responsible, as well as the one who having participated, expressed his disagreement at the time of agreement and left a record of it in the minutes.</w:t>
      </w:r>
    </w:p>
    <w:p w:rsidR="00A74B5C" w:rsidRPr="00A263CC" w:rsidRDefault="00A74B5C" w:rsidP="00A74B5C">
      <w:pPr>
        <w:pStyle w:val="NormalWeb"/>
        <w:jc w:val="both"/>
        <w:rPr>
          <w:rFonts w:ascii="Arial Narrow" w:hAnsi="Arial Narrow" w:cs="Arial"/>
          <w:sz w:val="22"/>
          <w:szCs w:val="22"/>
          <w:lang w:val="en-US"/>
        </w:rPr>
      </w:pPr>
      <w:r w:rsidRPr="000A58B2">
        <w:rPr>
          <w:rFonts w:ascii="Arial Narrow" w:hAnsi="Arial Narrow" w:cs="Arial"/>
          <w:sz w:val="22"/>
          <w:szCs w:val="22"/>
          <w:lang w:val="en-US"/>
        </w:rPr>
        <w:t xml:space="preserve"> (*) Article modified by Article 6 of </w:t>
      </w:r>
      <w:r w:rsidR="00A263CC">
        <w:rPr>
          <w:rFonts w:ascii="Arial Narrow" w:hAnsi="Arial Narrow" w:cs="Arial"/>
          <w:sz w:val="22"/>
          <w:szCs w:val="22"/>
          <w:lang w:val="en-US"/>
        </w:rPr>
        <w:t>Law</w:t>
      </w:r>
      <w:r w:rsidRPr="000A58B2">
        <w:rPr>
          <w:rFonts w:ascii="Arial Narrow" w:hAnsi="Arial Narrow" w:cs="Arial"/>
          <w:sz w:val="22"/>
          <w:szCs w:val="22"/>
          <w:lang w:val="en-US"/>
        </w:rPr>
        <w:t xml:space="preserve"> </w:t>
      </w:r>
      <w:r w:rsidRPr="00A263CC">
        <w:rPr>
          <w:rFonts w:ascii="Arial Narrow" w:hAnsi="Arial Narrow" w:cs="Arial"/>
          <w:sz w:val="22"/>
          <w:szCs w:val="22"/>
          <w:lang w:val="en-US"/>
        </w:rPr>
        <w:t>No. 30050.</w:t>
      </w:r>
    </w:p>
    <w:p w:rsidR="00A74B5C" w:rsidRPr="000A58B2" w:rsidRDefault="00A74B5C" w:rsidP="00A74B5C">
      <w:pPr>
        <w:pStyle w:val="NormalWeb"/>
        <w:jc w:val="both"/>
        <w:rPr>
          <w:rFonts w:ascii="Arial Narrow" w:hAnsi="Arial Narrow"/>
          <w:b/>
          <w:bCs/>
          <w:sz w:val="22"/>
          <w:szCs w:val="22"/>
          <w:lang w:val="en-US"/>
        </w:rPr>
      </w:pPr>
      <w:bookmarkStart w:id="69" w:name="JD_L29720-A4"/>
      <w:bookmarkEnd w:id="69"/>
      <w:r w:rsidRPr="00A263CC">
        <w:rPr>
          <w:rFonts w:ascii="Arial Narrow" w:hAnsi="Arial Narrow"/>
          <w:b/>
          <w:bCs/>
          <w:sz w:val="22"/>
          <w:szCs w:val="22"/>
          <w:lang w:val="en-US"/>
        </w:rPr>
        <w:t xml:space="preserve">Article 4: </w:t>
      </w:r>
      <w:r w:rsidR="00A263CC">
        <w:rPr>
          <w:rFonts w:ascii="Arial Narrow" w:hAnsi="Arial Narrow"/>
          <w:b/>
          <w:bCs/>
          <w:sz w:val="22"/>
          <w:szCs w:val="22"/>
          <w:lang w:val="en-US"/>
        </w:rPr>
        <w:t>Company</w:t>
      </w:r>
      <w:r w:rsidRPr="00A263CC">
        <w:rPr>
          <w:rFonts w:ascii="Arial Narrow" w:hAnsi="Arial Narrow"/>
          <w:b/>
          <w:bCs/>
          <w:sz w:val="22"/>
          <w:szCs w:val="22"/>
          <w:lang w:val="en-US"/>
        </w:rPr>
        <w:t xml:space="preserve"> responsibility claim</w:t>
      </w:r>
    </w:p>
    <w:p w:rsidR="00A74B5C" w:rsidRPr="000A58B2" w:rsidRDefault="00A74B5C" w:rsidP="00A74B5C">
      <w:pPr>
        <w:pStyle w:val="NormalWeb"/>
        <w:jc w:val="both"/>
        <w:rPr>
          <w:rFonts w:ascii="Arial Narrow" w:hAnsi="Arial Narrow"/>
          <w:sz w:val="22"/>
          <w:szCs w:val="22"/>
          <w:lang w:val="en-US"/>
        </w:rPr>
      </w:pPr>
      <w:r w:rsidRPr="000A58B2">
        <w:rPr>
          <w:rFonts w:ascii="Arial Narrow" w:hAnsi="Arial Narrow"/>
          <w:sz w:val="22"/>
          <w:szCs w:val="22"/>
          <w:lang w:val="en-US"/>
        </w:rPr>
        <w:t xml:space="preserve">For the purpose of applying Article 181 of </w:t>
      </w:r>
      <w:r w:rsidR="00A263CC">
        <w:rPr>
          <w:rFonts w:ascii="Arial Narrow" w:hAnsi="Arial Narrow"/>
          <w:sz w:val="22"/>
          <w:szCs w:val="22"/>
          <w:lang w:val="en-US"/>
        </w:rPr>
        <w:t>Law</w:t>
      </w:r>
      <w:r w:rsidRPr="000A58B2">
        <w:rPr>
          <w:rFonts w:ascii="Arial Narrow" w:hAnsi="Arial Narrow"/>
          <w:sz w:val="22"/>
          <w:szCs w:val="22"/>
          <w:lang w:val="en-US"/>
        </w:rPr>
        <w:t xml:space="preserve"> 26887, </w:t>
      </w:r>
      <w:r w:rsidR="00BB26CC">
        <w:rPr>
          <w:rFonts w:ascii="Arial Narrow" w:hAnsi="Arial Narrow"/>
          <w:sz w:val="22"/>
          <w:szCs w:val="22"/>
          <w:lang w:val="en-US"/>
        </w:rPr>
        <w:t>Company Act</w:t>
      </w:r>
      <w:r w:rsidRPr="000A58B2">
        <w:rPr>
          <w:rFonts w:ascii="Arial Narrow" w:hAnsi="Arial Narrow"/>
          <w:sz w:val="22"/>
          <w:szCs w:val="22"/>
          <w:lang w:val="en-US"/>
        </w:rPr>
        <w:t xml:space="preserve">, regarding issuers with shares in the stock market, in order to directly </w:t>
      </w:r>
      <w:proofErr w:type="gramStart"/>
      <w:r w:rsidR="00A263CC">
        <w:rPr>
          <w:rFonts w:ascii="Arial Narrow" w:hAnsi="Arial Narrow"/>
          <w:sz w:val="22"/>
          <w:szCs w:val="22"/>
          <w:lang w:val="en-US"/>
        </w:rPr>
        <w:t>file</w:t>
      </w:r>
      <w:proofErr w:type="gramEnd"/>
      <w:r w:rsidRPr="000A58B2">
        <w:rPr>
          <w:rFonts w:ascii="Arial Narrow" w:hAnsi="Arial Narrow"/>
          <w:sz w:val="22"/>
          <w:szCs w:val="22"/>
          <w:lang w:val="en-US"/>
        </w:rPr>
        <w:t xml:space="preserve"> a </w:t>
      </w:r>
      <w:r w:rsidR="00A263CC">
        <w:rPr>
          <w:rFonts w:ascii="Arial Narrow" w:hAnsi="Arial Narrow"/>
          <w:sz w:val="22"/>
          <w:szCs w:val="22"/>
          <w:lang w:val="en-US"/>
        </w:rPr>
        <w:t>company</w:t>
      </w:r>
      <w:r w:rsidRPr="000A58B2">
        <w:rPr>
          <w:rFonts w:ascii="Arial Narrow" w:hAnsi="Arial Narrow"/>
          <w:sz w:val="22"/>
          <w:szCs w:val="22"/>
          <w:lang w:val="en-US"/>
        </w:rPr>
        <w:t xml:space="preserve"> responsibility claim it is required to hold at least ten percent of the shared capital of the issuer.</w:t>
      </w:r>
    </w:p>
    <w:p w:rsidR="00A74B5C" w:rsidRPr="000A58B2" w:rsidRDefault="00A74B5C" w:rsidP="00A74B5C">
      <w:pPr>
        <w:pStyle w:val="NormalWeb"/>
        <w:jc w:val="both"/>
        <w:rPr>
          <w:rFonts w:ascii="Arial Narrow" w:hAnsi="Arial Narrow"/>
          <w:sz w:val="22"/>
          <w:szCs w:val="22"/>
          <w:lang w:val="en-US"/>
        </w:rPr>
      </w:pPr>
      <w:r w:rsidRPr="00A263CC">
        <w:rPr>
          <w:rFonts w:ascii="Arial Narrow" w:hAnsi="Arial Narrow"/>
          <w:sz w:val="22"/>
          <w:szCs w:val="22"/>
          <w:lang w:val="en-US"/>
        </w:rPr>
        <w:t xml:space="preserve">In which case, to initiate a </w:t>
      </w:r>
      <w:r w:rsidR="00A263CC" w:rsidRPr="00A263CC">
        <w:rPr>
          <w:rFonts w:ascii="Arial Narrow" w:hAnsi="Arial Narrow"/>
          <w:sz w:val="22"/>
          <w:szCs w:val="22"/>
          <w:lang w:val="en-US"/>
        </w:rPr>
        <w:t>company</w:t>
      </w:r>
      <w:r w:rsidRPr="00A263CC">
        <w:rPr>
          <w:rFonts w:ascii="Arial Narrow" w:hAnsi="Arial Narrow"/>
          <w:sz w:val="22"/>
          <w:szCs w:val="22"/>
          <w:lang w:val="en-US"/>
        </w:rPr>
        <w:t xml:space="preserve"> responsibility claim </w:t>
      </w:r>
      <w:r w:rsidR="00A263CC" w:rsidRPr="00A263CC">
        <w:rPr>
          <w:rFonts w:ascii="Arial Narrow" w:hAnsi="Arial Narrow"/>
          <w:sz w:val="22"/>
          <w:szCs w:val="22"/>
          <w:lang w:val="en-US"/>
        </w:rPr>
        <w:t>there is no prior need to hold</w:t>
      </w:r>
      <w:r w:rsidRPr="00A263CC">
        <w:rPr>
          <w:rFonts w:ascii="Arial Narrow" w:hAnsi="Arial Narrow"/>
          <w:sz w:val="22"/>
          <w:szCs w:val="22"/>
          <w:lang w:val="en-US"/>
        </w:rPr>
        <w:t xml:space="preserve"> </w:t>
      </w:r>
      <w:r w:rsidR="00A263CC" w:rsidRPr="00A263CC">
        <w:rPr>
          <w:rFonts w:ascii="Arial Narrow" w:hAnsi="Arial Narrow"/>
          <w:sz w:val="22"/>
          <w:szCs w:val="22"/>
          <w:lang w:val="en-US"/>
        </w:rPr>
        <w:t>a</w:t>
      </w:r>
      <w:r w:rsidRPr="00A263CC">
        <w:rPr>
          <w:rFonts w:ascii="Arial Narrow" w:hAnsi="Arial Narrow"/>
          <w:sz w:val="22"/>
          <w:szCs w:val="22"/>
          <w:lang w:val="en-US"/>
        </w:rPr>
        <w:t xml:space="preserve"> general meeting of shareholder or </w:t>
      </w:r>
      <w:r w:rsidR="00A263CC" w:rsidRPr="00A263CC">
        <w:rPr>
          <w:rFonts w:ascii="Arial Narrow" w:hAnsi="Arial Narrow"/>
          <w:sz w:val="22"/>
          <w:szCs w:val="22"/>
          <w:lang w:val="en-US"/>
        </w:rPr>
        <w:t xml:space="preserve">invoke </w:t>
      </w:r>
      <w:r w:rsidRPr="00A263CC">
        <w:rPr>
          <w:rFonts w:ascii="Arial Narrow" w:hAnsi="Arial Narrow"/>
          <w:sz w:val="22"/>
          <w:szCs w:val="22"/>
          <w:lang w:val="en-US"/>
        </w:rPr>
        <w:t>the lack of the respective agreements.</w:t>
      </w:r>
    </w:p>
    <w:p w:rsidR="00A74B5C" w:rsidRPr="000A58B2" w:rsidRDefault="00A74B5C" w:rsidP="00A74B5C">
      <w:pPr>
        <w:pStyle w:val="NormalWeb"/>
        <w:jc w:val="both"/>
        <w:rPr>
          <w:rFonts w:ascii="Arial Narrow" w:hAnsi="Arial Narrow"/>
          <w:sz w:val="22"/>
          <w:szCs w:val="22"/>
          <w:lang w:val="en-US"/>
        </w:rPr>
      </w:pPr>
      <w:r w:rsidRPr="000A58B2">
        <w:rPr>
          <w:rFonts w:ascii="Arial Narrow" w:hAnsi="Arial Narrow"/>
          <w:sz w:val="22"/>
          <w:szCs w:val="22"/>
          <w:lang w:val="en-US"/>
        </w:rPr>
        <w:t xml:space="preserve">During the trial, the plaintiff can ask the </w:t>
      </w:r>
      <w:r w:rsidR="00A263CC">
        <w:rPr>
          <w:rFonts w:ascii="Arial Narrow" w:hAnsi="Arial Narrow"/>
          <w:sz w:val="22"/>
          <w:szCs w:val="22"/>
          <w:lang w:val="en-US"/>
        </w:rPr>
        <w:t>board</w:t>
      </w:r>
      <w:r w:rsidRPr="000A58B2">
        <w:rPr>
          <w:rFonts w:ascii="Arial Narrow" w:hAnsi="Arial Narrow"/>
          <w:sz w:val="22"/>
          <w:szCs w:val="22"/>
          <w:lang w:val="en-US"/>
        </w:rPr>
        <w:t xml:space="preserve"> for all documents related to the act or decision being investigated and how the board should provide them. A judge will process this request.</w:t>
      </w:r>
    </w:p>
    <w:p w:rsidR="00A74B5C" w:rsidRPr="000A58B2" w:rsidRDefault="00A74B5C" w:rsidP="00A74B5C">
      <w:pPr>
        <w:pStyle w:val="NormalWeb"/>
        <w:jc w:val="both"/>
        <w:rPr>
          <w:rFonts w:ascii="Arial Narrow" w:hAnsi="Arial Narrow"/>
          <w:sz w:val="22"/>
          <w:szCs w:val="22"/>
          <w:lang w:val="en-US"/>
        </w:rPr>
      </w:pPr>
      <w:r w:rsidRPr="000A58B2">
        <w:rPr>
          <w:rFonts w:ascii="Arial Narrow" w:hAnsi="Arial Narrow"/>
          <w:sz w:val="22"/>
          <w:szCs w:val="22"/>
          <w:lang w:val="en-US"/>
        </w:rPr>
        <w:t>Compensation for damages to the public includes returning the profits made through the transaction, subject to any criminal liability that may be incurred.</w:t>
      </w:r>
    </w:p>
    <w:p w:rsidR="00A74B5C" w:rsidRPr="000A58B2" w:rsidRDefault="00A263CC" w:rsidP="00A74B5C">
      <w:pPr>
        <w:pStyle w:val="NormalWeb"/>
        <w:jc w:val="both"/>
        <w:rPr>
          <w:rFonts w:ascii="Arial Narrow" w:hAnsi="Arial Narrow"/>
          <w:b/>
          <w:bCs/>
          <w:sz w:val="22"/>
          <w:szCs w:val="22"/>
          <w:lang w:val="en-US"/>
        </w:rPr>
      </w:pPr>
      <w:r>
        <w:rPr>
          <w:rFonts w:ascii="Arial Narrow" w:hAnsi="Arial Narrow"/>
          <w:b/>
          <w:bCs/>
          <w:sz w:val="22"/>
          <w:szCs w:val="22"/>
          <w:lang w:val="en-US"/>
        </w:rPr>
        <w:t>FINAL COMPLE</w:t>
      </w:r>
      <w:r w:rsidR="00A74B5C" w:rsidRPr="000A58B2">
        <w:rPr>
          <w:rFonts w:ascii="Arial Narrow" w:hAnsi="Arial Narrow"/>
          <w:b/>
          <w:bCs/>
          <w:sz w:val="22"/>
          <w:szCs w:val="22"/>
          <w:lang w:val="en-US"/>
        </w:rPr>
        <w:t>MENTARY PROVISIONS</w:t>
      </w:r>
    </w:p>
    <w:p w:rsidR="00A74B5C" w:rsidRPr="000A58B2" w:rsidRDefault="00A74B5C" w:rsidP="00A74B5C">
      <w:pPr>
        <w:pStyle w:val="NormalWeb"/>
        <w:jc w:val="both"/>
        <w:rPr>
          <w:rFonts w:ascii="Arial Narrow" w:hAnsi="Arial Narrow"/>
          <w:b/>
          <w:bCs/>
          <w:sz w:val="22"/>
          <w:szCs w:val="22"/>
          <w:lang w:val="en-US"/>
        </w:rPr>
      </w:pPr>
      <w:r w:rsidRPr="000A58B2">
        <w:rPr>
          <w:rFonts w:ascii="Arial Narrow" w:hAnsi="Arial Narrow"/>
          <w:b/>
          <w:bCs/>
          <w:sz w:val="22"/>
          <w:szCs w:val="22"/>
          <w:lang w:val="en-US"/>
        </w:rPr>
        <w:t xml:space="preserve">THIRD: </w:t>
      </w:r>
      <w:r w:rsidR="00A263CC">
        <w:rPr>
          <w:rFonts w:ascii="Arial Narrow" w:hAnsi="Arial Narrow"/>
          <w:b/>
          <w:bCs/>
          <w:sz w:val="22"/>
          <w:szCs w:val="22"/>
          <w:lang w:val="en-US"/>
        </w:rPr>
        <w:t>R</w:t>
      </w:r>
      <w:r w:rsidRPr="000A58B2">
        <w:rPr>
          <w:rFonts w:ascii="Arial Narrow" w:hAnsi="Arial Narrow"/>
          <w:b/>
          <w:bCs/>
          <w:sz w:val="22"/>
          <w:szCs w:val="22"/>
          <w:lang w:val="en-US"/>
        </w:rPr>
        <w:t>esponsibilities of open stock companies</w:t>
      </w:r>
    </w:p>
    <w:p w:rsidR="00A74B5C" w:rsidRPr="000A58B2" w:rsidRDefault="00A74B5C" w:rsidP="00A74B5C">
      <w:pPr>
        <w:pStyle w:val="NormalWeb"/>
        <w:jc w:val="both"/>
        <w:rPr>
          <w:rFonts w:ascii="Arial Narrow" w:hAnsi="Arial Narrow"/>
          <w:sz w:val="22"/>
          <w:szCs w:val="22"/>
          <w:lang w:val="en-US"/>
        </w:rPr>
      </w:pPr>
      <w:r w:rsidRPr="000A58B2">
        <w:rPr>
          <w:rFonts w:ascii="Arial Narrow" w:hAnsi="Arial Narrow"/>
          <w:sz w:val="22"/>
          <w:szCs w:val="22"/>
          <w:lang w:val="en-US"/>
        </w:rPr>
        <w:t xml:space="preserve">Any reference to issuers with shares in the stock market contained in articles 3 and 4 of the current </w:t>
      </w:r>
      <w:r w:rsidR="00A263CC">
        <w:rPr>
          <w:rFonts w:ascii="Arial Narrow" w:hAnsi="Arial Narrow"/>
          <w:sz w:val="22"/>
          <w:szCs w:val="22"/>
          <w:lang w:val="en-US"/>
        </w:rPr>
        <w:t>Law</w:t>
      </w:r>
      <w:r w:rsidRPr="000A58B2">
        <w:rPr>
          <w:rFonts w:ascii="Arial Narrow" w:hAnsi="Arial Narrow"/>
          <w:sz w:val="22"/>
          <w:szCs w:val="22"/>
          <w:lang w:val="en-US"/>
        </w:rPr>
        <w:t xml:space="preserve"> </w:t>
      </w:r>
      <w:r w:rsidR="00A263CC">
        <w:rPr>
          <w:rFonts w:ascii="Arial Narrow" w:hAnsi="Arial Narrow"/>
          <w:sz w:val="22"/>
          <w:szCs w:val="22"/>
          <w:lang w:val="en-US"/>
        </w:rPr>
        <w:t>apply</w:t>
      </w:r>
      <w:r w:rsidRPr="000A58B2">
        <w:rPr>
          <w:rFonts w:ascii="Arial Narrow" w:hAnsi="Arial Narrow"/>
          <w:sz w:val="22"/>
          <w:szCs w:val="22"/>
          <w:lang w:val="en-US"/>
        </w:rPr>
        <w:t xml:space="preserve"> to other open stock companies.</w:t>
      </w:r>
    </w:p>
    <w:p w:rsidR="00237DC5" w:rsidRPr="00596737" w:rsidRDefault="00237DC5" w:rsidP="001E5A86"/>
    <w:p w:rsidR="003E6822" w:rsidRPr="00596737" w:rsidRDefault="003E6822" w:rsidP="00DD2779">
      <w:pPr>
        <w:pStyle w:val="Ttulo1"/>
        <w:rPr>
          <w:u w:val="single"/>
        </w:rPr>
      </w:pPr>
      <w:bookmarkStart w:id="70" w:name="_Toc440563176"/>
      <w:bookmarkStart w:id="71" w:name="_Toc440563718"/>
      <w:r w:rsidRPr="00596737">
        <w:rPr>
          <w:u w:val="single"/>
        </w:rPr>
        <w:t>LAW No. 29782: Strengthening supervision of stock market</w:t>
      </w:r>
      <w:bookmarkEnd w:id="70"/>
      <w:bookmarkEnd w:id="71"/>
    </w:p>
    <w:p w:rsidR="0054782E" w:rsidRPr="000A58B2" w:rsidRDefault="0054782E" w:rsidP="0054782E">
      <w:pPr>
        <w:pStyle w:val="NormalWeb"/>
        <w:rPr>
          <w:rFonts w:ascii="Arial Narrow" w:hAnsi="Arial Narrow"/>
          <w:b/>
          <w:bCs/>
          <w:sz w:val="22"/>
          <w:szCs w:val="22"/>
          <w:lang w:val="en-US"/>
        </w:rPr>
      </w:pPr>
      <w:bookmarkStart w:id="72" w:name="JD_L29782-2DCF"/>
      <w:bookmarkEnd w:id="72"/>
      <w:r w:rsidRPr="000A58B2">
        <w:rPr>
          <w:rFonts w:ascii="Arial Narrow" w:hAnsi="Arial Narrow"/>
          <w:b/>
          <w:bCs/>
          <w:sz w:val="22"/>
          <w:szCs w:val="22"/>
          <w:lang w:val="en-US"/>
        </w:rPr>
        <w:t>F</w:t>
      </w:r>
      <w:r>
        <w:rPr>
          <w:rFonts w:ascii="Arial Narrow" w:hAnsi="Arial Narrow"/>
          <w:b/>
          <w:bCs/>
          <w:sz w:val="22"/>
          <w:szCs w:val="22"/>
          <w:lang w:val="en-US"/>
        </w:rPr>
        <w:t>inal Complementary Provisions</w:t>
      </w:r>
    </w:p>
    <w:p w:rsidR="003E6822" w:rsidRPr="000A58B2" w:rsidRDefault="003E6822" w:rsidP="003E6822">
      <w:pPr>
        <w:spacing w:before="100" w:beforeAutospacing="1" w:afterAutospacing="1"/>
        <w:rPr>
          <w:rFonts w:cs="Arial"/>
          <w:b/>
          <w:bCs/>
          <w:szCs w:val="22"/>
          <w:lang w:val="en-US"/>
        </w:rPr>
      </w:pPr>
      <w:r w:rsidRPr="000A58B2">
        <w:rPr>
          <w:rFonts w:cs="Arial"/>
          <w:b/>
          <w:bCs/>
          <w:szCs w:val="22"/>
          <w:lang w:val="en-US"/>
        </w:rPr>
        <w:t xml:space="preserve">SECOND – Modification to </w:t>
      </w:r>
      <w:r>
        <w:rPr>
          <w:rFonts w:cs="Arial"/>
          <w:b/>
          <w:bCs/>
          <w:szCs w:val="22"/>
          <w:lang w:val="en-US"/>
        </w:rPr>
        <w:t>Law</w:t>
      </w:r>
      <w:r w:rsidRPr="000A58B2">
        <w:rPr>
          <w:rFonts w:cs="Arial"/>
          <w:b/>
          <w:bCs/>
          <w:szCs w:val="22"/>
          <w:lang w:val="en-US"/>
        </w:rPr>
        <w:t xml:space="preserve"> 26887, </w:t>
      </w:r>
      <w:r>
        <w:rPr>
          <w:rFonts w:cs="Arial"/>
          <w:b/>
          <w:bCs/>
          <w:szCs w:val="22"/>
          <w:lang w:val="en-US"/>
        </w:rPr>
        <w:t>Company Act</w:t>
      </w:r>
    </w:p>
    <w:p w:rsidR="003E6822" w:rsidRPr="000A58B2" w:rsidRDefault="003E6822" w:rsidP="003E6822">
      <w:pPr>
        <w:spacing w:before="100" w:beforeAutospacing="1" w:afterAutospacing="1"/>
        <w:rPr>
          <w:rFonts w:cs="Arial"/>
          <w:szCs w:val="22"/>
          <w:lang w:val="en-US"/>
        </w:rPr>
      </w:pPr>
      <w:r w:rsidRPr="000A58B2">
        <w:rPr>
          <w:rFonts w:cs="Arial"/>
          <w:szCs w:val="22"/>
          <w:lang w:val="en-US"/>
        </w:rPr>
        <w:t xml:space="preserve">Modify Article 262-F of </w:t>
      </w:r>
      <w:r>
        <w:rPr>
          <w:rFonts w:cs="Arial"/>
          <w:szCs w:val="22"/>
          <w:lang w:val="en-US"/>
        </w:rPr>
        <w:t>Law</w:t>
      </w:r>
      <w:r w:rsidRPr="000A58B2">
        <w:rPr>
          <w:rFonts w:cs="Arial"/>
          <w:szCs w:val="22"/>
          <w:lang w:val="en-US"/>
        </w:rPr>
        <w:t xml:space="preserve"> 26887, </w:t>
      </w:r>
      <w:r>
        <w:rPr>
          <w:rFonts w:cs="Arial"/>
          <w:szCs w:val="22"/>
          <w:lang w:val="en-US"/>
        </w:rPr>
        <w:t>Company Act</w:t>
      </w:r>
      <w:r w:rsidRPr="000A58B2">
        <w:rPr>
          <w:rFonts w:cs="Arial"/>
          <w:szCs w:val="22"/>
          <w:lang w:val="en-US"/>
        </w:rPr>
        <w:t>, with the following texts:</w:t>
      </w:r>
    </w:p>
    <w:p w:rsidR="003E6822" w:rsidRPr="000A58B2" w:rsidRDefault="003E6822" w:rsidP="003E6822">
      <w:pPr>
        <w:spacing w:before="100" w:beforeAutospacing="1" w:afterAutospacing="1"/>
        <w:rPr>
          <w:rFonts w:cs="Arial"/>
          <w:b/>
          <w:bCs/>
          <w:szCs w:val="22"/>
          <w:lang w:val="en-US"/>
        </w:rPr>
      </w:pPr>
      <w:r w:rsidRPr="000A58B2">
        <w:rPr>
          <w:rFonts w:cs="Arial"/>
          <w:b/>
          <w:bCs/>
          <w:szCs w:val="22"/>
          <w:lang w:val="en-US"/>
        </w:rPr>
        <w:t>Article 262-F – Claim procedures</w:t>
      </w:r>
    </w:p>
    <w:p w:rsidR="003E6822" w:rsidRPr="000A58B2" w:rsidRDefault="003E6822" w:rsidP="003E6822">
      <w:pPr>
        <w:spacing w:before="100" w:beforeAutospacing="1" w:afterAutospacing="1"/>
        <w:rPr>
          <w:rFonts w:cs="Arial"/>
          <w:szCs w:val="22"/>
          <w:lang w:val="en-US"/>
        </w:rPr>
      </w:pPr>
      <w:r w:rsidRPr="000A58B2">
        <w:rPr>
          <w:rFonts w:cs="Arial"/>
          <w:szCs w:val="22"/>
          <w:lang w:val="en-US"/>
        </w:rPr>
        <w:t xml:space="preserve">The applicant who was denied the delivery of his assets or dividends, </w:t>
      </w:r>
      <w:r>
        <w:rPr>
          <w:rFonts w:cs="Arial"/>
          <w:szCs w:val="22"/>
          <w:lang w:val="en-US"/>
        </w:rPr>
        <w:t xml:space="preserve">expressly or not failure to </w:t>
      </w:r>
      <w:proofErr w:type="gramStart"/>
      <w:r>
        <w:rPr>
          <w:rFonts w:cs="Arial"/>
          <w:szCs w:val="22"/>
          <w:lang w:val="en-US"/>
        </w:rPr>
        <w:t>deliver</w:t>
      </w:r>
      <w:r w:rsidRPr="000A58B2">
        <w:rPr>
          <w:rFonts w:cs="Arial"/>
          <w:szCs w:val="22"/>
          <w:lang w:val="en-US"/>
        </w:rPr>
        <w:t>,</w:t>
      </w:r>
      <w:proofErr w:type="gramEnd"/>
      <w:r w:rsidRPr="000A58B2">
        <w:rPr>
          <w:rFonts w:cs="Arial"/>
          <w:szCs w:val="22"/>
          <w:lang w:val="en-US"/>
        </w:rPr>
        <w:t xml:space="preserve"> can claim this before the Superintendence of Securities</w:t>
      </w:r>
      <w:r>
        <w:rPr>
          <w:rFonts w:cs="Arial"/>
          <w:szCs w:val="22"/>
          <w:lang w:val="en-US"/>
        </w:rPr>
        <w:t xml:space="preserve"> Market</w:t>
      </w:r>
      <w:r w:rsidRPr="000A58B2">
        <w:rPr>
          <w:rFonts w:cs="Arial"/>
          <w:szCs w:val="22"/>
          <w:lang w:val="en-US"/>
        </w:rPr>
        <w:t xml:space="preserve">. </w:t>
      </w:r>
    </w:p>
    <w:p w:rsidR="003E6822" w:rsidRPr="000A58B2" w:rsidRDefault="003E6822" w:rsidP="003E6822">
      <w:pPr>
        <w:spacing w:before="100" w:beforeAutospacing="1" w:afterAutospacing="1"/>
        <w:rPr>
          <w:rFonts w:cs="Arial"/>
          <w:szCs w:val="22"/>
          <w:lang w:val="en-US"/>
        </w:rPr>
      </w:pPr>
      <w:r w:rsidRPr="000A58B2">
        <w:rPr>
          <w:rFonts w:cs="Arial"/>
          <w:szCs w:val="22"/>
          <w:lang w:val="en-US"/>
        </w:rPr>
        <w:t xml:space="preserve">This claim will be </w:t>
      </w:r>
      <w:r>
        <w:rPr>
          <w:rFonts w:cs="Arial"/>
          <w:szCs w:val="22"/>
          <w:lang w:val="en-US"/>
        </w:rPr>
        <w:t xml:space="preserve">apply in </w:t>
      </w:r>
      <w:r w:rsidRPr="000A58B2">
        <w:rPr>
          <w:rFonts w:cs="Arial"/>
          <w:szCs w:val="22"/>
          <w:lang w:val="en-US"/>
        </w:rPr>
        <w:t xml:space="preserve">the company within fifteen working days beginning when notified </w:t>
      </w:r>
      <w:r>
        <w:rPr>
          <w:rFonts w:cs="Arial"/>
          <w:szCs w:val="22"/>
          <w:lang w:val="en-US"/>
        </w:rPr>
        <w:t>by</w:t>
      </w:r>
      <w:r w:rsidRPr="000A58B2">
        <w:rPr>
          <w:rFonts w:cs="Arial"/>
          <w:szCs w:val="22"/>
          <w:lang w:val="en-US"/>
        </w:rPr>
        <w:t xml:space="preserve"> the company’s denial or </w:t>
      </w:r>
      <w:r>
        <w:rPr>
          <w:rFonts w:cs="Arial"/>
          <w:szCs w:val="22"/>
          <w:lang w:val="en-US"/>
        </w:rPr>
        <w:t>not failure to deliver</w:t>
      </w:r>
      <w:r w:rsidRPr="000A58B2">
        <w:rPr>
          <w:rFonts w:cs="Arial"/>
          <w:szCs w:val="22"/>
          <w:lang w:val="en-US"/>
        </w:rPr>
        <w:t>. The file will be sent to the Superintendence of Securities</w:t>
      </w:r>
      <w:r>
        <w:rPr>
          <w:rFonts w:cs="Arial"/>
          <w:szCs w:val="22"/>
          <w:lang w:val="en-US"/>
        </w:rPr>
        <w:t xml:space="preserve"> Market</w:t>
      </w:r>
      <w:r w:rsidRPr="000A58B2">
        <w:rPr>
          <w:rFonts w:cs="Arial"/>
          <w:szCs w:val="22"/>
          <w:lang w:val="en-US"/>
        </w:rPr>
        <w:t xml:space="preserve">, with the documents required to settle with the company, in three business days. The Superintendence of Securities </w:t>
      </w:r>
      <w:r>
        <w:rPr>
          <w:rFonts w:cs="Arial"/>
          <w:szCs w:val="22"/>
          <w:lang w:val="en-US"/>
        </w:rPr>
        <w:t xml:space="preserve">Market </w:t>
      </w:r>
      <w:r w:rsidRPr="000A58B2">
        <w:rPr>
          <w:rFonts w:cs="Arial"/>
          <w:szCs w:val="22"/>
          <w:lang w:val="en-US"/>
        </w:rPr>
        <w:t xml:space="preserve">must settle the claim in ninety working days beginning when the company sent the documents. </w:t>
      </w:r>
      <w:r w:rsidRPr="00A263CC">
        <w:rPr>
          <w:rFonts w:cs="Arial"/>
          <w:szCs w:val="22"/>
          <w:lang w:val="en-US"/>
        </w:rPr>
        <w:t xml:space="preserve">During this period, the Superintendence of Securities </w:t>
      </w:r>
      <w:r>
        <w:rPr>
          <w:rFonts w:cs="Arial"/>
          <w:szCs w:val="22"/>
          <w:lang w:val="en-US"/>
        </w:rPr>
        <w:t xml:space="preserve">Market </w:t>
      </w:r>
      <w:r w:rsidRPr="00A263CC">
        <w:rPr>
          <w:rFonts w:cs="Arial"/>
          <w:szCs w:val="22"/>
          <w:lang w:val="en-US"/>
        </w:rPr>
        <w:t>can request any additional document from the concerned parties and the company.</w:t>
      </w:r>
    </w:p>
    <w:p w:rsidR="003E6822" w:rsidRDefault="003E6822" w:rsidP="003E6822">
      <w:pPr>
        <w:spacing w:before="100" w:beforeAutospacing="1" w:afterAutospacing="1"/>
        <w:rPr>
          <w:rFonts w:cs="Arial"/>
          <w:szCs w:val="22"/>
          <w:lang w:val="en-US"/>
        </w:rPr>
      </w:pPr>
      <w:r w:rsidRPr="00A263CC">
        <w:rPr>
          <w:rFonts w:cs="Arial"/>
          <w:szCs w:val="22"/>
          <w:lang w:val="en-US"/>
        </w:rPr>
        <w:t>Open companies must monitor the criteria used by the Superintendence of Securities</w:t>
      </w:r>
      <w:r>
        <w:rPr>
          <w:rFonts w:cs="Arial"/>
          <w:szCs w:val="22"/>
          <w:lang w:val="en-US"/>
        </w:rPr>
        <w:t xml:space="preserve"> Market</w:t>
      </w:r>
      <w:r w:rsidRPr="00A263CC">
        <w:rPr>
          <w:rFonts w:cs="Arial"/>
          <w:szCs w:val="22"/>
          <w:lang w:val="en-US"/>
        </w:rPr>
        <w:t xml:space="preserve"> in order to resolve the claim with successive petitions in similar cases</w:t>
      </w:r>
      <w:r w:rsidR="008807C9">
        <w:rPr>
          <w:rFonts w:cs="Arial"/>
          <w:szCs w:val="22"/>
          <w:lang w:val="en-US"/>
        </w:rPr>
        <w:t>.</w:t>
      </w:r>
    </w:p>
    <w:p w:rsidR="008807C9" w:rsidRPr="000A58B2" w:rsidRDefault="008807C9" w:rsidP="008807C9">
      <w:pPr>
        <w:pStyle w:val="NormalWeb"/>
        <w:jc w:val="both"/>
        <w:rPr>
          <w:rFonts w:ascii="Arial Narrow" w:hAnsi="Arial Narrow"/>
          <w:b/>
          <w:bCs/>
          <w:sz w:val="22"/>
          <w:szCs w:val="22"/>
          <w:lang w:val="en-US"/>
        </w:rPr>
      </w:pPr>
      <w:r w:rsidRPr="000A58B2">
        <w:rPr>
          <w:rFonts w:ascii="Arial Narrow" w:hAnsi="Arial Narrow"/>
          <w:b/>
          <w:bCs/>
          <w:sz w:val="22"/>
          <w:szCs w:val="22"/>
          <w:lang w:val="en-US"/>
        </w:rPr>
        <w:lastRenderedPageBreak/>
        <w:t>FOURTH – Consumer protection</w:t>
      </w:r>
    </w:p>
    <w:p w:rsidR="008807C9" w:rsidRPr="000A58B2" w:rsidRDefault="008807C9" w:rsidP="008807C9">
      <w:pPr>
        <w:pStyle w:val="NormalWeb"/>
        <w:jc w:val="both"/>
        <w:rPr>
          <w:rFonts w:ascii="Arial Narrow" w:hAnsi="Arial Narrow"/>
          <w:sz w:val="22"/>
          <w:szCs w:val="22"/>
          <w:lang w:val="en-US"/>
        </w:rPr>
      </w:pPr>
      <w:r w:rsidRPr="00093FB0">
        <w:rPr>
          <w:rFonts w:ascii="Arial Narrow" w:hAnsi="Arial Narrow"/>
          <w:sz w:val="22"/>
          <w:szCs w:val="22"/>
          <w:lang w:val="en-US"/>
        </w:rPr>
        <w:t>In accordance with Law 29571, Code for the Protection and the Defense of Consumer, and provided that the principals or participants have the status of final consumers, the National Institute for the Defense of Competition and Intellectual Property (</w:t>
      </w:r>
      <w:proofErr w:type="spellStart"/>
      <w:r w:rsidRPr="00093FB0">
        <w:rPr>
          <w:rFonts w:ascii="Arial Narrow" w:hAnsi="Arial Narrow"/>
          <w:sz w:val="22"/>
          <w:szCs w:val="22"/>
          <w:lang w:val="en-US"/>
        </w:rPr>
        <w:t>Indecopi</w:t>
      </w:r>
      <w:proofErr w:type="spellEnd"/>
      <w:r w:rsidRPr="00093FB0">
        <w:rPr>
          <w:rFonts w:ascii="Arial Narrow" w:hAnsi="Arial Narrow"/>
          <w:sz w:val="22"/>
          <w:szCs w:val="22"/>
          <w:lang w:val="en-US"/>
        </w:rPr>
        <w:t>) will be aware of the allegations against their company’s stockbrokers, mutual fund management companies, and administrators of mutual funds investment companies.</w:t>
      </w:r>
    </w:p>
    <w:p w:rsidR="008807C9" w:rsidRPr="00093FB0" w:rsidRDefault="008807C9" w:rsidP="008807C9">
      <w:pPr>
        <w:pStyle w:val="NormalWeb"/>
        <w:jc w:val="both"/>
        <w:rPr>
          <w:rFonts w:ascii="Arial Narrow" w:hAnsi="Arial Narrow"/>
          <w:sz w:val="22"/>
          <w:szCs w:val="22"/>
          <w:lang w:val="en-US"/>
        </w:rPr>
      </w:pPr>
      <w:r w:rsidRPr="000A58B2">
        <w:rPr>
          <w:rFonts w:ascii="Arial Narrow" w:hAnsi="Arial Narrow"/>
          <w:sz w:val="22"/>
          <w:szCs w:val="22"/>
          <w:lang w:val="en-US"/>
        </w:rPr>
        <w:t>According to what is established in Legislative Decree 1044, the Legislative Decree that approved the Law of Unfair Competition, the National Institute for the Defense of Competition and Intellectual Property (</w:t>
      </w:r>
      <w:proofErr w:type="spellStart"/>
      <w:r w:rsidRPr="000A58B2">
        <w:rPr>
          <w:rFonts w:ascii="Arial Narrow" w:hAnsi="Arial Narrow"/>
          <w:sz w:val="22"/>
          <w:szCs w:val="22"/>
          <w:lang w:val="en-US"/>
        </w:rPr>
        <w:t>Indecopi</w:t>
      </w:r>
      <w:proofErr w:type="spellEnd"/>
      <w:r w:rsidRPr="000A58B2">
        <w:rPr>
          <w:rFonts w:ascii="Arial Narrow" w:hAnsi="Arial Narrow"/>
          <w:sz w:val="22"/>
          <w:szCs w:val="22"/>
          <w:lang w:val="en-US"/>
        </w:rPr>
        <w:t xml:space="preserve">) will be aware of the complaints regarding the violations of regulations contained </w:t>
      </w:r>
      <w:r w:rsidRPr="00093FB0">
        <w:rPr>
          <w:rFonts w:ascii="Arial Narrow" w:hAnsi="Arial Narrow"/>
          <w:sz w:val="22"/>
          <w:szCs w:val="22"/>
          <w:lang w:val="en-US"/>
        </w:rPr>
        <w:t xml:space="preserve">in these legal bodies, including the provisions regarding publicity approved by the Superintendence of Securities </w:t>
      </w:r>
      <w:r>
        <w:rPr>
          <w:rFonts w:ascii="Arial Narrow" w:hAnsi="Arial Narrow"/>
          <w:sz w:val="22"/>
          <w:szCs w:val="22"/>
          <w:lang w:val="en-US"/>
        </w:rPr>
        <w:t xml:space="preserve">Market </w:t>
      </w:r>
      <w:r w:rsidRPr="00093FB0">
        <w:rPr>
          <w:rFonts w:ascii="Arial Narrow" w:hAnsi="Arial Narrow"/>
          <w:sz w:val="22"/>
          <w:szCs w:val="22"/>
          <w:lang w:val="en-US"/>
        </w:rPr>
        <w:t xml:space="preserve">to </w:t>
      </w:r>
      <w:r>
        <w:rPr>
          <w:rFonts w:ascii="Arial Narrow" w:hAnsi="Arial Narrow"/>
          <w:sz w:val="22"/>
          <w:szCs w:val="22"/>
          <w:lang w:val="en-US"/>
        </w:rPr>
        <w:t>individuals</w:t>
      </w:r>
      <w:r w:rsidRPr="00093FB0">
        <w:rPr>
          <w:rFonts w:ascii="Arial Narrow" w:hAnsi="Arial Narrow"/>
          <w:sz w:val="22"/>
          <w:szCs w:val="22"/>
          <w:lang w:val="en-US"/>
        </w:rPr>
        <w:t xml:space="preserve"> or legal persons under their jurisdiction.</w:t>
      </w:r>
    </w:p>
    <w:p w:rsidR="008807C9" w:rsidRPr="000A58B2" w:rsidRDefault="008807C9" w:rsidP="008807C9">
      <w:pPr>
        <w:pStyle w:val="NormalWeb"/>
        <w:jc w:val="both"/>
        <w:rPr>
          <w:rFonts w:ascii="Arial Narrow" w:hAnsi="Arial Narrow"/>
          <w:sz w:val="22"/>
          <w:szCs w:val="22"/>
          <w:lang w:val="en-US"/>
        </w:rPr>
      </w:pPr>
      <w:r w:rsidRPr="00093FB0">
        <w:rPr>
          <w:rFonts w:ascii="Arial Narrow" w:hAnsi="Arial Narrow"/>
          <w:sz w:val="22"/>
          <w:szCs w:val="22"/>
          <w:lang w:val="en-US"/>
        </w:rPr>
        <w:t>In cases where interpretation is needed for the rules of competition under the Supe</w:t>
      </w:r>
      <w:r w:rsidRPr="000A58B2">
        <w:rPr>
          <w:rFonts w:ascii="Arial Narrow" w:hAnsi="Arial Narrow"/>
          <w:sz w:val="22"/>
          <w:szCs w:val="22"/>
          <w:lang w:val="en-US"/>
        </w:rPr>
        <w:t xml:space="preserve">rintendence of Securities, </w:t>
      </w:r>
      <w:r>
        <w:rPr>
          <w:rFonts w:ascii="Arial Narrow" w:hAnsi="Arial Narrow"/>
          <w:sz w:val="22"/>
          <w:szCs w:val="22"/>
          <w:lang w:val="en-US"/>
        </w:rPr>
        <w:t xml:space="preserve">Market </w:t>
      </w:r>
      <w:r w:rsidRPr="000A58B2">
        <w:rPr>
          <w:rFonts w:ascii="Arial Narrow" w:hAnsi="Arial Narrow"/>
          <w:sz w:val="22"/>
          <w:szCs w:val="22"/>
          <w:lang w:val="en-US"/>
        </w:rPr>
        <w:t>the National Institute for the Defense of Competition and Intellectual Property (</w:t>
      </w:r>
      <w:proofErr w:type="spellStart"/>
      <w:r w:rsidRPr="000A58B2">
        <w:rPr>
          <w:rFonts w:ascii="Arial Narrow" w:hAnsi="Arial Narrow"/>
          <w:sz w:val="22"/>
          <w:szCs w:val="22"/>
          <w:lang w:val="en-US"/>
        </w:rPr>
        <w:t>Indecopi</w:t>
      </w:r>
      <w:proofErr w:type="spellEnd"/>
      <w:r w:rsidRPr="000A58B2">
        <w:rPr>
          <w:rFonts w:ascii="Arial Narrow" w:hAnsi="Arial Narrow"/>
          <w:sz w:val="22"/>
          <w:szCs w:val="22"/>
          <w:lang w:val="en-US"/>
        </w:rPr>
        <w:t>) should request a technical report from said supervisor.</w:t>
      </w:r>
    </w:p>
    <w:p w:rsidR="00E93395" w:rsidRDefault="008807C9" w:rsidP="0054782E">
      <w:pPr>
        <w:pStyle w:val="NormalWeb"/>
        <w:jc w:val="both"/>
        <w:rPr>
          <w:rFonts w:ascii="Arial Narrow" w:hAnsi="Arial Narrow"/>
          <w:sz w:val="22"/>
          <w:szCs w:val="22"/>
          <w:lang w:val="en-US"/>
        </w:rPr>
      </w:pPr>
      <w:r w:rsidRPr="00093FB0">
        <w:rPr>
          <w:rFonts w:ascii="Arial Narrow" w:hAnsi="Arial Narrow"/>
          <w:sz w:val="22"/>
          <w:szCs w:val="22"/>
          <w:lang w:val="en-US"/>
        </w:rPr>
        <w:t>The final resolutions of the National Institute for the Defense of Competition and Intellectual Property (</w:t>
      </w:r>
      <w:proofErr w:type="spellStart"/>
      <w:r w:rsidRPr="00093FB0">
        <w:rPr>
          <w:rFonts w:ascii="Arial Narrow" w:hAnsi="Arial Narrow"/>
          <w:sz w:val="22"/>
          <w:szCs w:val="22"/>
          <w:lang w:val="en-US"/>
        </w:rPr>
        <w:t>Indecopi</w:t>
      </w:r>
      <w:proofErr w:type="spellEnd"/>
      <w:r w:rsidRPr="00093FB0">
        <w:rPr>
          <w:rFonts w:ascii="Arial Narrow" w:hAnsi="Arial Narrow"/>
          <w:sz w:val="22"/>
          <w:szCs w:val="22"/>
          <w:lang w:val="en-US"/>
        </w:rPr>
        <w:t>) to punish those who violate the rules regarding consumer protection and publicity by natural or legal persons under the jurisdiction of the Superintendence of Securities must be reported to the supervisor.</w:t>
      </w:r>
      <w:bookmarkStart w:id="73" w:name="JD_L30050-a14"/>
      <w:bookmarkEnd w:id="73"/>
    </w:p>
    <w:p w:rsidR="001E5A86" w:rsidRPr="00335B64" w:rsidRDefault="001E5A86" w:rsidP="0054782E">
      <w:pPr>
        <w:pStyle w:val="NormalWeb"/>
        <w:jc w:val="both"/>
        <w:rPr>
          <w:lang w:val="en-US"/>
        </w:rPr>
      </w:pPr>
    </w:p>
    <w:p w:rsidR="00A74B5C" w:rsidRPr="0054782E" w:rsidRDefault="00A263CC" w:rsidP="00DD2779">
      <w:pPr>
        <w:pStyle w:val="Ttulo1"/>
        <w:rPr>
          <w:u w:val="single"/>
        </w:rPr>
      </w:pPr>
      <w:bookmarkStart w:id="74" w:name="_Toc440563177"/>
      <w:bookmarkStart w:id="75" w:name="_Toc440563719"/>
      <w:r w:rsidRPr="0054782E">
        <w:rPr>
          <w:u w:val="single"/>
        </w:rPr>
        <w:t>LAW</w:t>
      </w:r>
      <w:r w:rsidR="00A74B5C" w:rsidRPr="0054782E">
        <w:rPr>
          <w:u w:val="single"/>
        </w:rPr>
        <w:t xml:space="preserve"> </w:t>
      </w:r>
      <w:r w:rsidR="00E93395" w:rsidRPr="0054782E">
        <w:rPr>
          <w:u w:val="single"/>
        </w:rPr>
        <w:t xml:space="preserve">N° </w:t>
      </w:r>
      <w:r w:rsidR="00A74B5C" w:rsidRPr="0054782E">
        <w:rPr>
          <w:u w:val="single"/>
        </w:rPr>
        <w:t>30050, Stock Market Promotion Law</w:t>
      </w:r>
      <w:bookmarkEnd w:id="74"/>
      <w:bookmarkEnd w:id="75"/>
    </w:p>
    <w:p w:rsidR="00A74B5C" w:rsidRPr="000A58B2" w:rsidRDefault="00A74B5C" w:rsidP="00A74B5C">
      <w:pPr>
        <w:pStyle w:val="NormalWeb"/>
        <w:jc w:val="both"/>
        <w:rPr>
          <w:rFonts w:ascii="Arial Narrow" w:hAnsi="Arial Narrow" w:cs="Arial"/>
          <w:b/>
          <w:bCs/>
          <w:sz w:val="22"/>
          <w:szCs w:val="22"/>
          <w:lang w:val="en-US"/>
        </w:rPr>
      </w:pPr>
      <w:r w:rsidRPr="000A58B2">
        <w:rPr>
          <w:rFonts w:ascii="Arial Narrow" w:hAnsi="Arial Narrow" w:cs="Arial"/>
          <w:b/>
          <w:bCs/>
          <w:sz w:val="22"/>
          <w:szCs w:val="22"/>
          <w:lang w:val="en-US"/>
        </w:rPr>
        <w:t xml:space="preserve">Article 9: Modification of Article 262-B of </w:t>
      </w:r>
      <w:r w:rsidR="00A263CC">
        <w:rPr>
          <w:rFonts w:ascii="Arial Narrow" w:hAnsi="Arial Narrow" w:cs="Arial"/>
          <w:b/>
          <w:bCs/>
          <w:sz w:val="22"/>
          <w:szCs w:val="22"/>
          <w:lang w:val="en-US"/>
        </w:rPr>
        <w:t>Law</w:t>
      </w:r>
      <w:r w:rsidRPr="000A58B2">
        <w:rPr>
          <w:rFonts w:ascii="Arial Narrow" w:hAnsi="Arial Narrow" w:cs="Arial"/>
          <w:b/>
          <w:bCs/>
          <w:sz w:val="22"/>
          <w:szCs w:val="22"/>
          <w:lang w:val="en-US"/>
        </w:rPr>
        <w:t xml:space="preserve"> </w:t>
      </w:r>
      <w:r w:rsidR="006A3688">
        <w:rPr>
          <w:rFonts w:ascii="Arial Narrow" w:hAnsi="Arial Narrow" w:cs="Arial"/>
          <w:b/>
          <w:bCs/>
          <w:sz w:val="22"/>
          <w:szCs w:val="22"/>
          <w:lang w:val="en-US"/>
        </w:rPr>
        <w:t xml:space="preserve">N° </w:t>
      </w:r>
      <w:r w:rsidRPr="000A58B2">
        <w:rPr>
          <w:rFonts w:ascii="Arial Narrow" w:hAnsi="Arial Narrow" w:cs="Arial"/>
          <w:b/>
          <w:bCs/>
          <w:sz w:val="22"/>
          <w:szCs w:val="22"/>
          <w:lang w:val="en-US"/>
        </w:rPr>
        <w:t>26887, Corporations Law.</w:t>
      </w:r>
    </w:p>
    <w:p w:rsidR="00A74B5C" w:rsidRPr="000A58B2" w:rsidRDefault="00A74B5C" w:rsidP="00A74B5C">
      <w:pPr>
        <w:pStyle w:val="NormalWeb"/>
        <w:jc w:val="both"/>
        <w:rPr>
          <w:rFonts w:ascii="Arial Narrow" w:hAnsi="Arial Narrow" w:cs="Arial"/>
          <w:sz w:val="22"/>
          <w:szCs w:val="22"/>
          <w:lang w:val="en-US"/>
        </w:rPr>
      </w:pPr>
      <w:r w:rsidRPr="000A58B2">
        <w:rPr>
          <w:rFonts w:ascii="Arial Narrow" w:hAnsi="Arial Narrow" w:cs="Arial"/>
          <w:sz w:val="22"/>
          <w:szCs w:val="22"/>
          <w:lang w:val="en-US"/>
        </w:rPr>
        <w:t xml:space="preserve">Modify Article 161-B of </w:t>
      </w:r>
      <w:r w:rsidR="00A263CC">
        <w:rPr>
          <w:rFonts w:ascii="Arial Narrow" w:hAnsi="Arial Narrow" w:cs="Arial"/>
          <w:sz w:val="22"/>
          <w:szCs w:val="22"/>
          <w:lang w:val="en-US"/>
        </w:rPr>
        <w:t>Law</w:t>
      </w:r>
      <w:r w:rsidRPr="000A58B2">
        <w:rPr>
          <w:rFonts w:ascii="Arial Narrow" w:hAnsi="Arial Narrow" w:cs="Arial"/>
          <w:sz w:val="22"/>
          <w:szCs w:val="22"/>
          <w:lang w:val="en-US"/>
        </w:rPr>
        <w:t xml:space="preserve"> </w:t>
      </w:r>
      <w:r w:rsidR="00D807F6">
        <w:rPr>
          <w:rFonts w:ascii="Arial Narrow" w:hAnsi="Arial Narrow" w:cs="Arial"/>
          <w:sz w:val="22"/>
          <w:szCs w:val="22"/>
          <w:lang w:val="en-US"/>
        </w:rPr>
        <w:t>N° 26887, Corporations L</w:t>
      </w:r>
      <w:r w:rsidRPr="000A58B2">
        <w:rPr>
          <w:rFonts w:ascii="Arial Narrow" w:hAnsi="Arial Narrow" w:cs="Arial"/>
          <w:sz w:val="22"/>
          <w:szCs w:val="22"/>
          <w:lang w:val="en-US"/>
        </w:rPr>
        <w:t>aw, with the following text:</w:t>
      </w:r>
    </w:p>
    <w:p w:rsidR="00A74B5C" w:rsidRPr="000A58B2" w:rsidRDefault="00A74B5C" w:rsidP="00A74B5C">
      <w:pPr>
        <w:pStyle w:val="NormalWeb"/>
        <w:jc w:val="both"/>
        <w:rPr>
          <w:rFonts w:ascii="Arial Narrow" w:hAnsi="Arial Narrow" w:cs="Arial"/>
          <w:b/>
          <w:bCs/>
          <w:sz w:val="22"/>
          <w:szCs w:val="22"/>
          <w:lang w:val="en-US"/>
        </w:rPr>
      </w:pPr>
      <w:r w:rsidRPr="000A58B2">
        <w:rPr>
          <w:rFonts w:ascii="Arial Narrow" w:hAnsi="Arial Narrow" w:cs="Arial"/>
          <w:b/>
          <w:bCs/>
          <w:sz w:val="22"/>
          <w:szCs w:val="22"/>
          <w:lang w:val="en-US"/>
        </w:rPr>
        <w:t>Article 262-B – Request for delivery of share certificates and/or dividends</w:t>
      </w:r>
    </w:p>
    <w:p w:rsidR="00A74B5C" w:rsidRPr="000A58B2" w:rsidRDefault="00A74B5C" w:rsidP="00A74B5C">
      <w:pPr>
        <w:pStyle w:val="NormalWeb"/>
        <w:jc w:val="both"/>
        <w:rPr>
          <w:rFonts w:ascii="Arial Narrow" w:hAnsi="Arial Narrow" w:cs="Arial"/>
          <w:sz w:val="22"/>
          <w:szCs w:val="22"/>
          <w:lang w:val="en-US"/>
        </w:rPr>
      </w:pPr>
      <w:r w:rsidRPr="000A58B2">
        <w:rPr>
          <w:rFonts w:ascii="Arial Narrow" w:hAnsi="Arial Narrow" w:cs="Arial"/>
          <w:sz w:val="22"/>
          <w:szCs w:val="22"/>
          <w:lang w:val="en-US"/>
        </w:rPr>
        <w:t>In order to request the delivery of shares and/or dividends, those interested must present the following documents depending on whether they are natural or legal persons:</w:t>
      </w:r>
    </w:p>
    <w:p w:rsidR="00A74B5C" w:rsidRPr="000A58B2" w:rsidRDefault="00A74B5C" w:rsidP="001D57D6">
      <w:pPr>
        <w:pStyle w:val="NormalWeb"/>
        <w:numPr>
          <w:ilvl w:val="0"/>
          <w:numId w:val="6"/>
        </w:numPr>
        <w:jc w:val="both"/>
        <w:rPr>
          <w:rFonts w:ascii="Arial Narrow" w:hAnsi="Arial Narrow" w:cs="Arial"/>
          <w:sz w:val="22"/>
          <w:szCs w:val="22"/>
          <w:lang w:val="en-US"/>
        </w:rPr>
      </w:pPr>
      <w:r w:rsidRPr="000A58B2">
        <w:rPr>
          <w:rFonts w:ascii="Arial Narrow" w:hAnsi="Arial Narrow" w:cs="Arial"/>
          <w:sz w:val="22"/>
          <w:szCs w:val="22"/>
          <w:lang w:val="en-US"/>
        </w:rPr>
        <w:t>Identification, with a copy attached;</w:t>
      </w:r>
    </w:p>
    <w:p w:rsidR="00A74B5C" w:rsidRPr="000A58B2" w:rsidRDefault="00A74B5C" w:rsidP="001D57D6">
      <w:pPr>
        <w:pStyle w:val="NormalWeb"/>
        <w:numPr>
          <w:ilvl w:val="0"/>
          <w:numId w:val="6"/>
        </w:numPr>
        <w:jc w:val="both"/>
        <w:rPr>
          <w:rFonts w:ascii="Arial Narrow" w:hAnsi="Arial Narrow" w:cs="Arial"/>
          <w:sz w:val="22"/>
          <w:szCs w:val="22"/>
          <w:lang w:val="en-US"/>
        </w:rPr>
      </w:pPr>
      <w:r w:rsidRPr="00093FB0">
        <w:rPr>
          <w:rFonts w:ascii="Arial Narrow" w:hAnsi="Arial Narrow" w:cs="Arial"/>
          <w:sz w:val="22"/>
          <w:szCs w:val="22"/>
          <w:lang w:val="en-US"/>
        </w:rPr>
        <w:t xml:space="preserve">Powers </w:t>
      </w:r>
      <w:r w:rsidR="00093FB0" w:rsidRPr="00093FB0">
        <w:rPr>
          <w:rFonts w:ascii="Arial Narrow" w:hAnsi="Arial Narrow" w:cs="Arial"/>
          <w:sz w:val="22"/>
          <w:szCs w:val="22"/>
          <w:lang w:val="en-US"/>
        </w:rPr>
        <w:t>of attorney on</w:t>
      </w:r>
      <w:r w:rsidRPr="00093FB0">
        <w:rPr>
          <w:rFonts w:ascii="Arial Narrow" w:hAnsi="Arial Narrow" w:cs="Arial"/>
          <w:sz w:val="22"/>
          <w:szCs w:val="22"/>
          <w:lang w:val="en-US"/>
        </w:rPr>
        <w:t xml:space="preserve"> the owner’s behalf, if applicable</w:t>
      </w:r>
      <w:r w:rsidRPr="000A58B2">
        <w:rPr>
          <w:rFonts w:ascii="Arial Narrow" w:hAnsi="Arial Narrow" w:cs="Arial"/>
          <w:sz w:val="22"/>
          <w:szCs w:val="22"/>
          <w:lang w:val="en-US"/>
        </w:rPr>
        <w:t>;</w:t>
      </w:r>
    </w:p>
    <w:p w:rsidR="00A74B5C" w:rsidRPr="000A58B2" w:rsidRDefault="00A74B5C" w:rsidP="001D57D6">
      <w:pPr>
        <w:pStyle w:val="NormalWeb"/>
        <w:numPr>
          <w:ilvl w:val="0"/>
          <w:numId w:val="6"/>
        </w:numPr>
        <w:jc w:val="both"/>
        <w:rPr>
          <w:rFonts w:ascii="Arial Narrow" w:hAnsi="Arial Narrow" w:cs="Arial"/>
          <w:sz w:val="22"/>
          <w:szCs w:val="22"/>
          <w:lang w:val="en-US"/>
        </w:rPr>
      </w:pPr>
      <w:r w:rsidRPr="000A58B2">
        <w:rPr>
          <w:rFonts w:ascii="Arial Narrow" w:hAnsi="Arial Narrow" w:cs="Arial"/>
          <w:sz w:val="22"/>
          <w:szCs w:val="22"/>
          <w:lang w:val="en-US"/>
        </w:rPr>
        <w:t>Documents certifying the status of heir or legatee, if applicable;</w:t>
      </w:r>
    </w:p>
    <w:p w:rsidR="00A74B5C" w:rsidRPr="00093FB0" w:rsidRDefault="00A74B5C" w:rsidP="001D57D6">
      <w:pPr>
        <w:pStyle w:val="NormalWeb"/>
        <w:numPr>
          <w:ilvl w:val="0"/>
          <w:numId w:val="6"/>
        </w:numPr>
        <w:jc w:val="both"/>
        <w:rPr>
          <w:rFonts w:ascii="Arial Narrow" w:hAnsi="Arial Narrow" w:cs="Arial"/>
          <w:sz w:val="22"/>
          <w:szCs w:val="22"/>
          <w:lang w:val="en-US"/>
        </w:rPr>
      </w:pPr>
      <w:r w:rsidRPr="000A58B2">
        <w:rPr>
          <w:rFonts w:ascii="Arial Narrow" w:hAnsi="Arial Narrow" w:cs="Arial"/>
          <w:sz w:val="22"/>
          <w:szCs w:val="22"/>
          <w:lang w:val="en-US"/>
        </w:rPr>
        <w:t xml:space="preserve">Documents certifying the ownership of shares, if </w:t>
      </w:r>
      <w:r w:rsidRPr="00093FB0">
        <w:rPr>
          <w:rFonts w:ascii="Arial Narrow" w:hAnsi="Arial Narrow" w:cs="Arial"/>
          <w:sz w:val="22"/>
          <w:szCs w:val="22"/>
          <w:lang w:val="en-US"/>
        </w:rPr>
        <w:t>applicable.</w:t>
      </w:r>
    </w:p>
    <w:p w:rsidR="00A74B5C" w:rsidRPr="000A58B2" w:rsidRDefault="00A74B5C" w:rsidP="00A74B5C">
      <w:pPr>
        <w:pStyle w:val="NormalWeb"/>
        <w:jc w:val="both"/>
        <w:rPr>
          <w:rFonts w:ascii="Arial Narrow" w:hAnsi="Arial Narrow" w:cs="Arial"/>
          <w:sz w:val="22"/>
          <w:szCs w:val="22"/>
          <w:lang w:val="en-US"/>
        </w:rPr>
      </w:pPr>
      <w:r w:rsidRPr="00093FB0">
        <w:rPr>
          <w:rFonts w:ascii="Arial Narrow" w:hAnsi="Arial Narrow" w:cs="Arial"/>
          <w:sz w:val="22"/>
          <w:szCs w:val="22"/>
          <w:lang w:val="en-US"/>
        </w:rPr>
        <w:t>For the delivery of dividends, those interested may instruct the company to undertake, on their behalf, the respective cash deposit in an account established in a national financial system company designated for that purpose, when appropriate.</w:t>
      </w:r>
    </w:p>
    <w:p w:rsidR="00A74B5C" w:rsidRPr="000A58B2" w:rsidRDefault="00A74B5C" w:rsidP="00A74B5C">
      <w:pPr>
        <w:pStyle w:val="NormalWeb"/>
        <w:jc w:val="both"/>
        <w:rPr>
          <w:rFonts w:ascii="Arial Narrow" w:hAnsi="Arial Narrow" w:cs="Arial"/>
          <w:sz w:val="22"/>
          <w:szCs w:val="22"/>
          <w:lang w:val="en-US"/>
        </w:rPr>
      </w:pPr>
      <w:r w:rsidRPr="000A58B2">
        <w:rPr>
          <w:rFonts w:ascii="Arial Narrow" w:hAnsi="Arial Narrow" w:cs="Arial"/>
          <w:sz w:val="22"/>
          <w:szCs w:val="22"/>
          <w:lang w:val="en-US"/>
        </w:rPr>
        <w:t>After the presentation of the documents specified in this Article, the company will deliver the shares or dividends during a time period of thirty (30) days. After this deadline, and without any statement from the company, the request is denied, leaving expedited the claims procedure highlighted in Article 262-F.”</w:t>
      </w:r>
    </w:p>
    <w:p w:rsidR="00A74B5C" w:rsidRPr="000A58B2" w:rsidRDefault="00A74B5C" w:rsidP="00A74B5C">
      <w:pPr>
        <w:pStyle w:val="NormalWeb"/>
        <w:jc w:val="both"/>
        <w:rPr>
          <w:rFonts w:ascii="Arial Narrow" w:hAnsi="Arial Narrow" w:cs="Arial"/>
          <w:b/>
          <w:bCs/>
          <w:sz w:val="22"/>
          <w:szCs w:val="22"/>
          <w:lang w:val="en-US"/>
        </w:rPr>
      </w:pPr>
      <w:bookmarkStart w:id="76" w:name="JD_L30050-a10"/>
      <w:bookmarkEnd w:id="76"/>
      <w:r w:rsidRPr="000A58B2">
        <w:rPr>
          <w:rFonts w:ascii="Arial Narrow" w:hAnsi="Arial Narrow" w:cs="Arial"/>
          <w:b/>
          <w:bCs/>
          <w:sz w:val="22"/>
          <w:szCs w:val="22"/>
          <w:lang w:val="en-US"/>
        </w:rPr>
        <w:t xml:space="preserve">Article 10: </w:t>
      </w:r>
      <w:r w:rsidR="00B31A5E" w:rsidRPr="000A58B2">
        <w:rPr>
          <w:rFonts w:ascii="Arial Narrow" w:hAnsi="Arial Narrow" w:cs="Arial"/>
          <w:b/>
          <w:bCs/>
          <w:sz w:val="22"/>
          <w:szCs w:val="22"/>
          <w:lang w:val="en-US"/>
        </w:rPr>
        <w:t>Incorporation</w:t>
      </w:r>
      <w:r w:rsidRPr="000A58B2">
        <w:rPr>
          <w:rFonts w:ascii="Arial Narrow" w:hAnsi="Arial Narrow" w:cs="Arial"/>
          <w:b/>
          <w:bCs/>
          <w:sz w:val="22"/>
          <w:szCs w:val="22"/>
          <w:lang w:val="en-US"/>
        </w:rPr>
        <w:t xml:space="preserve"> of Article 255 to </w:t>
      </w:r>
      <w:r w:rsidR="00A263CC">
        <w:rPr>
          <w:rFonts w:ascii="Arial Narrow" w:hAnsi="Arial Narrow" w:cs="Arial"/>
          <w:b/>
          <w:bCs/>
          <w:sz w:val="22"/>
          <w:szCs w:val="22"/>
          <w:lang w:val="en-US"/>
        </w:rPr>
        <w:t>Law</w:t>
      </w:r>
      <w:r w:rsidRPr="000A58B2">
        <w:rPr>
          <w:rFonts w:ascii="Arial Narrow" w:hAnsi="Arial Narrow" w:cs="Arial"/>
          <w:b/>
          <w:bCs/>
          <w:sz w:val="22"/>
          <w:szCs w:val="22"/>
          <w:lang w:val="en-US"/>
        </w:rPr>
        <w:t xml:space="preserve"> 26887, Corporations Law.</w:t>
      </w:r>
    </w:p>
    <w:p w:rsidR="00A74B5C" w:rsidRPr="000A58B2" w:rsidRDefault="00A74B5C" w:rsidP="00A74B5C">
      <w:pPr>
        <w:pStyle w:val="NormalWeb"/>
        <w:jc w:val="both"/>
        <w:rPr>
          <w:rFonts w:ascii="Arial Narrow" w:hAnsi="Arial Narrow" w:cs="Arial"/>
          <w:sz w:val="22"/>
          <w:szCs w:val="22"/>
          <w:lang w:val="en-US"/>
        </w:rPr>
      </w:pPr>
      <w:r w:rsidRPr="000A58B2">
        <w:rPr>
          <w:rFonts w:ascii="Arial Narrow" w:hAnsi="Arial Narrow" w:cs="Arial"/>
          <w:sz w:val="22"/>
          <w:szCs w:val="22"/>
          <w:lang w:val="en-US"/>
        </w:rPr>
        <w:lastRenderedPageBreak/>
        <w:t xml:space="preserve">Incorporate Article 255 to </w:t>
      </w:r>
      <w:r w:rsidR="00D807F6">
        <w:rPr>
          <w:rFonts w:ascii="Arial Narrow" w:hAnsi="Arial Narrow" w:cs="Arial"/>
          <w:sz w:val="22"/>
          <w:szCs w:val="22"/>
          <w:lang w:val="en-US"/>
        </w:rPr>
        <w:t>Law N°</w:t>
      </w:r>
      <w:r w:rsidRPr="000A58B2">
        <w:rPr>
          <w:rFonts w:ascii="Arial Narrow" w:hAnsi="Arial Narrow" w:cs="Arial"/>
          <w:sz w:val="22"/>
          <w:szCs w:val="22"/>
          <w:lang w:val="en-US"/>
        </w:rPr>
        <w:t xml:space="preserve"> 26887, Corporations Law, which will be established according to the following text:</w:t>
      </w:r>
    </w:p>
    <w:p w:rsidR="00A74B5C" w:rsidRPr="000A58B2" w:rsidRDefault="00A74B5C" w:rsidP="00A74B5C">
      <w:pPr>
        <w:pStyle w:val="NormalWeb"/>
        <w:jc w:val="both"/>
        <w:rPr>
          <w:rFonts w:ascii="Arial Narrow" w:hAnsi="Arial Narrow" w:cs="Arial"/>
          <w:b/>
          <w:bCs/>
          <w:sz w:val="22"/>
          <w:szCs w:val="22"/>
          <w:lang w:val="en-US"/>
        </w:rPr>
      </w:pPr>
      <w:r w:rsidRPr="000A58B2">
        <w:rPr>
          <w:rFonts w:ascii="Arial Narrow" w:hAnsi="Arial Narrow" w:cs="Arial"/>
          <w:b/>
          <w:bCs/>
          <w:sz w:val="22"/>
          <w:szCs w:val="22"/>
          <w:lang w:val="en-US"/>
        </w:rPr>
        <w:t>Article 255 – Notification request by shareholders</w:t>
      </w:r>
    </w:p>
    <w:p w:rsidR="00A74B5C" w:rsidRPr="000A58B2" w:rsidRDefault="00A74B5C" w:rsidP="00A74B5C">
      <w:pPr>
        <w:pStyle w:val="NormalWeb"/>
        <w:jc w:val="both"/>
        <w:rPr>
          <w:rFonts w:ascii="Arial Narrow" w:hAnsi="Arial Narrow" w:cs="Arial"/>
          <w:sz w:val="22"/>
          <w:szCs w:val="22"/>
          <w:lang w:val="en-US"/>
        </w:rPr>
      </w:pPr>
      <w:r w:rsidRPr="000A58B2">
        <w:rPr>
          <w:rFonts w:ascii="Arial Narrow" w:hAnsi="Arial Narrow" w:cs="Arial"/>
          <w:sz w:val="22"/>
          <w:szCs w:val="22"/>
          <w:lang w:val="en-US"/>
        </w:rPr>
        <w:t>In open stock companies, the number of shares that are required under Article 117 to request the holding of a general meeting is five percent (5%) of the outstanding shares entitled to vote and whose rights are not suspended under the provisions established in Article 105.</w:t>
      </w:r>
    </w:p>
    <w:p w:rsidR="00A74B5C" w:rsidRPr="000A58B2" w:rsidRDefault="00A74B5C" w:rsidP="00A74B5C">
      <w:pPr>
        <w:pStyle w:val="NormalWeb"/>
        <w:jc w:val="both"/>
        <w:rPr>
          <w:rFonts w:ascii="Arial Narrow" w:hAnsi="Arial Narrow" w:cs="Arial"/>
          <w:sz w:val="22"/>
          <w:szCs w:val="22"/>
          <w:lang w:val="en-US"/>
        </w:rPr>
      </w:pPr>
      <w:r w:rsidRPr="000A58B2">
        <w:rPr>
          <w:rFonts w:ascii="Arial Narrow" w:hAnsi="Arial Narrow" w:cs="Arial"/>
          <w:sz w:val="22"/>
          <w:szCs w:val="22"/>
          <w:lang w:val="en-US"/>
        </w:rPr>
        <w:t xml:space="preserve">The provisions of the previous paragraph </w:t>
      </w:r>
      <w:r w:rsidR="00093FB0">
        <w:rPr>
          <w:rFonts w:ascii="Arial Narrow" w:hAnsi="Arial Narrow" w:cs="Arial"/>
          <w:sz w:val="22"/>
          <w:szCs w:val="22"/>
          <w:lang w:val="en-US"/>
        </w:rPr>
        <w:t>apply</w:t>
      </w:r>
      <w:r w:rsidRPr="000A58B2">
        <w:rPr>
          <w:rFonts w:ascii="Arial Narrow" w:hAnsi="Arial Narrow" w:cs="Arial"/>
          <w:sz w:val="22"/>
          <w:szCs w:val="22"/>
          <w:lang w:val="en-US"/>
        </w:rPr>
        <w:t xml:space="preserve"> to the requests for special meetings. The basis for determining the five prevent (5%) </w:t>
      </w:r>
      <w:r w:rsidR="00093FB0">
        <w:rPr>
          <w:rFonts w:ascii="Arial Narrow" w:hAnsi="Arial Narrow" w:cs="Arial"/>
          <w:sz w:val="22"/>
          <w:szCs w:val="22"/>
          <w:lang w:val="en-US"/>
        </w:rPr>
        <w:t>o</w:t>
      </w:r>
      <w:r w:rsidR="00B31A5E">
        <w:rPr>
          <w:rFonts w:ascii="Arial Narrow" w:hAnsi="Arial Narrow" w:cs="Arial"/>
          <w:sz w:val="22"/>
          <w:szCs w:val="22"/>
          <w:lang w:val="en-US"/>
        </w:rPr>
        <w:t>n</w:t>
      </w:r>
      <w:r w:rsidR="00093FB0">
        <w:rPr>
          <w:rFonts w:ascii="Arial Narrow" w:hAnsi="Arial Narrow" w:cs="Arial"/>
          <w:sz w:val="22"/>
          <w:szCs w:val="22"/>
          <w:lang w:val="en-US"/>
        </w:rPr>
        <w:t xml:space="preserve"> stocks </w:t>
      </w:r>
      <w:r w:rsidRPr="000A58B2">
        <w:rPr>
          <w:rFonts w:ascii="Arial Narrow" w:hAnsi="Arial Narrow" w:cs="Arial"/>
          <w:sz w:val="22"/>
          <w:szCs w:val="22"/>
          <w:lang w:val="en-US"/>
        </w:rPr>
        <w:t xml:space="preserve">is constituted by the shares that plans to hold the special meeting. Calls for special meetings must demonstrate fulfillment of the procedural requirements specified in Article 88 and Article 132 of this </w:t>
      </w:r>
      <w:r w:rsidR="00A263CC">
        <w:rPr>
          <w:rFonts w:ascii="Arial Narrow" w:hAnsi="Arial Narrow" w:cs="Arial"/>
          <w:sz w:val="22"/>
          <w:szCs w:val="22"/>
          <w:lang w:val="en-US"/>
        </w:rPr>
        <w:t>Law</w:t>
      </w:r>
      <w:r w:rsidRPr="000A58B2">
        <w:rPr>
          <w:rFonts w:ascii="Arial Narrow" w:hAnsi="Arial Narrow" w:cs="Arial"/>
          <w:sz w:val="22"/>
          <w:szCs w:val="22"/>
          <w:lang w:val="en-US"/>
        </w:rPr>
        <w:t xml:space="preserve"> or established in other relevant statutes.</w:t>
      </w:r>
    </w:p>
    <w:p w:rsidR="00A74B5C" w:rsidRPr="000A58B2" w:rsidRDefault="00A74B5C" w:rsidP="00A74B5C">
      <w:pPr>
        <w:pStyle w:val="NormalWeb"/>
        <w:jc w:val="both"/>
        <w:rPr>
          <w:rFonts w:ascii="Arial Narrow" w:hAnsi="Arial Narrow" w:cs="Arial"/>
          <w:sz w:val="22"/>
          <w:szCs w:val="22"/>
          <w:lang w:val="en-US"/>
        </w:rPr>
      </w:pPr>
      <w:r w:rsidRPr="000A58B2">
        <w:rPr>
          <w:rFonts w:ascii="Arial Narrow" w:hAnsi="Arial Narrow" w:cs="Arial"/>
          <w:sz w:val="22"/>
          <w:szCs w:val="22"/>
          <w:lang w:val="en-US"/>
        </w:rPr>
        <w:t>The notary or the company’s judge can call the meeting to order if the company director registered in the public records or the body that exercises these functions denied the request, whether explicit or implied. It is understood that there is tacit refusal in the following cases:</w:t>
      </w:r>
    </w:p>
    <w:p w:rsidR="00A74B5C" w:rsidRPr="000A58B2" w:rsidRDefault="00A74B5C" w:rsidP="001D57D6">
      <w:pPr>
        <w:pStyle w:val="NormalWeb"/>
        <w:numPr>
          <w:ilvl w:val="0"/>
          <w:numId w:val="7"/>
        </w:numPr>
        <w:jc w:val="both"/>
        <w:rPr>
          <w:rFonts w:ascii="Arial Narrow" w:hAnsi="Arial Narrow" w:cs="Arial"/>
          <w:sz w:val="22"/>
          <w:szCs w:val="22"/>
          <w:lang w:val="en-US"/>
        </w:rPr>
      </w:pPr>
      <w:r w:rsidRPr="000A58B2">
        <w:rPr>
          <w:rFonts w:ascii="Arial Narrow" w:hAnsi="Arial Narrow" w:cs="Arial"/>
          <w:sz w:val="22"/>
          <w:szCs w:val="22"/>
          <w:lang w:val="en-US"/>
        </w:rPr>
        <w:t xml:space="preserve">When the board has not convened within the period described in the third paragraph of Article 177 of this </w:t>
      </w:r>
      <w:r w:rsidR="00A263CC">
        <w:rPr>
          <w:rFonts w:ascii="Arial Narrow" w:hAnsi="Arial Narrow" w:cs="Arial"/>
          <w:sz w:val="22"/>
          <w:szCs w:val="22"/>
          <w:lang w:val="en-US"/>
        </w:rPr>
        <w:t>Law</w:t>
      </w:r>
      <w:r w:rsidRPr="000A58B2">
        <w:rPr>
          <w:rFonts w:ascii="Arial Narrow" w:hAnsi="Arial Narrow" w:cs="Arial"/>
          <w:sz w:val="22"/>
          <w:szCs w:val="22"/>
          <w:lang w:val="en-US"/>
        </w:rPr>
        <w:t>.</w:t>
      </w:r>
    </w:p>
    <w:p w:rsidR="00A74B5C" w:rsidRPr="00093FB0" w:rsidRDefault="00A74B5C" w:rsidP="001D57D6">
      <w:pPr>
        <w:pStyle w:val="NormalWeb"/>
        <w:numPr>
          <w:ilvl w:val="0"/>
          <w:numId w:val="7"/>
        </w:numPr>
        <w:jc w:val="both"/>
        <w:rPr>
          <w:rFonts w:ascii="Arial Narrow" w:hAnsi="Arial Narrow" w:cs="Arial"/>
          <w:sz w:val="22"/>
          <w:szCs w:val="22"/>
          <w:lang w:val="en-US"/>
        </w:rPr>
      </w:pPr>
      <w:r w:rsidRPr="00093FB0">
        <w:rPr>
          <w:rFonts w:ascii="Arial Narrow" w:hAnsi="Arial Narrow" w:cs="Arial"/>
          <w:sz w:val="22"/>
          <w:szCs w:val="22"/>
          <w:lang w:val="en-US"/>
        </w:rPr>
        <w:t>When the board rescinds, suspends, or in any manner alters or modifies the terms of the notice that he would have incurred at the request of the referred percentage of shareholders.</w:t>
      </w:r>
    </w:p>
    <w:p w:rsidR="00A74B5C" w:rsidRPr="00093FB0" w:rsidRDefault="00A74B5C" w:rsidP="001D57D6">
      <w:pPr>
        <w:pStyle w:val="NormalWeb"/>
        <w:numPr>
          <w:ilvl w:val="0"/>
          <w:numId w:val="7"/>
        </w:numPr>
        <w:jc w:val="both"/>
        <w:rPr>
          <w:rFonts w:ascii="Arial Narrow" w:hAnsi="Arial Narrow" w:cs="Arial"/>
          <w:sz w:val="22"/>
          <w:szCs w:val="22"/>
          <w:lang w:val="en-US"/>
        </w:rPr>
      </w:pPr>
      <w:r w:rsidRPr="00093FB0">
        <w:rPr>
          <w:rFonts w:ascii="Arial Narrow" w:hAnsi="Arial Narrow" w:cs="Arial"/>
          <w:sz w:val="22"/>
          <w:szCs w:val="22"/>
          <w:lang w:val="en-US"/>
        </w:rPr>
        <w:t>When the board holds the meeting within a period of forty (40) days after publishing the meeting notice.</w:t>
      </w:r>
    </w:p>
    <w:p w:rsidR="00A74B5C" w:rsidRPr="00093FB0" w:rsidRDefault="00A74B5C" w:rsidP="00A74B5C">
      <w:pPr>
        <w:pStyle w:val="NormalWeb"/>
        <w:jc w:val="both"/>
        <w:rPr>
          <w:rFonts w:ascii="Arial Narrow" w:hAnsi="Arial Narrow" w:cs="Arial"/>
          <w:sz w:val="22"/>
          <w:szCs w:val="22"/>
          <w:lang w:val="en-US"/>
        </w:rPr>
      </w:pPr>
      <w:r w:rsidRPr="00093FB0">
        <w:rPr>
          <w:rFonts w:ascii="Arial Narrow" w:hAnsi="Arial Narrow" w:cs="Arial"/>
          <w:sz w:val="22"/>
          <w:szCs w:val="22"/>
          <w:lang w:val="en-US"/>
        </w:rPr>
        <w:t>However, and as long as there is a duly justified and substantiated cause, the company judge – who previously would have held the shareholder’s meeting – can, at the demand of those requesting the call to meet, suspend or revoke the meeting.”</w:t>
      </w:r>
    </w:p>
    <w:p w:rsidR="00A74B5C" w:rsidRPr="000A58B2" w:rsidRDefault="00A74B5C">
      <w:pPr>
        <w:tabs>
          <w:tab w:val="clear" w:pos="1531"/>
        </w:tabs>
        <w:spacing w:after="200" w:line="276" w:lineRule="auto"/>
        <w:jc w:val="left"/>
        <w:rPr>
          <w:rFonts w:cs="Arial"/>
          <w:b/>
          <w:snapToGrid w:val="0"/>
          <w:sz w:val="28"/>
          <w:szCs w:val="22"/>
          <w:lang w:val="en-US"/>
        </w:rPr>
      </w:pPr>
      <w:bookmarkStart w:id="77" w:name="JD_L29782-4DCF"/>
      <w:bookmarkEnd w:id="77"/>
      <w:r w:rsidRPr="000A58B2">
        <w:rPr>
          <w:rFonts w:cs="Arial"/>
          <w:sz w:val="28"/>
          <w:szCs w:val="22"/>
          <w:lang w:val="en-US"/>
        </w:rPr>
        <w:br w:type="page"/>
      </w:r>
    </w:p>
    <w:p w:rsidR="00CD0FE8" w:rsidRDefault="00CD0FE8" w:rsidP="00A74B5C">
      <w:pPr>
        <w:pStyle w:val="Subttulo1"/>
        <w:spacing w:line="360" w:lineRule="auto"/>
        <w:ind w:right="567"/>
        <w:rPr>
          <w:rFonts w:ascii="Arial Narrow" w:hAnsi="Arial Narrow" w:cs="Arial"/>
          <w:color w:val="auto"/>
          <w:sz w:val="28"/>
          <w:szCs w:val="22"/>
          <w:lang w:val="en-US"/>
        </w:rPr>
      </w:pPr>
    </w:p>
    <w:p w:rsidR="00237DC5" w:rsidRDefault="00237DC5" w:rsidP="00A74B5C">
      <w:pPr>
        <w:pStyle w:val="Subttulo1"/>
        <w:spacing w:line="360" w:lineRule="auto"/>
        <w:ind w:right="567"/>
        <w:rPr>
          <w:rFonts w:ascii="Arial Narrow" w:hAnsi="Arial Narrow" w:cs="Arial"/>
          <w:color w:val="auto"/>
          <w:sz w:val="28"/>
          <w:szCs w:val="22"/>
          <w:lang w:val="en-US"/>
        </w:rPr>
      </w:pPr>
    </w:p>
    <w:p w:rsidR="00237DC5" w:rsidRDefault="00237DC5" w:rsidP="00A74B5C">
      <w:pPr>
        <w:pStyle w:val="Subttulo1"/>
        <w:spacing w:line="360" w:lineRule="auto"/>
        <w:ind w:right="567"/>
        <w:rPr>
          <w:rFonts w:ascii="Arial Narrow" w:hAnsi="Arial Narrow" w:cs="Arial"/>
          <w:color w:val="auto"/>
          <w:sz w:val="28"/>
          <w:szCs w:val="22"/>
          <w:lang w:val="en-US"/>
        </w:rPr>
      </w:pPr>
    </w:p>
    <w:p w:rsidR="00237DC5" w:rsidRDefault="00237DC5" w:rsidP="00A74B5C">
      <w:pPr>
        <w:pStyle w:val="Subttulo1"/>
        <w:spacing w:line="360" w:lineRule="auto"/>
        <w:ind w:right="567"/>
        <w:rPr>
          <w:rFonts w:ascii="Arial Narrow" w:hAnsi="Arial Narrow" w:cs="Arial"/>
          <w:color w:val="auto"/>
          <w:sz w:val="28"/>
          <w:szCs w:val="22"/>
          <w:lang w:val="en-US"/>
        </w:rPr>
      </w:pPr>
    </w:p>
    <w:p w:rsidR="00237DC5" w:rsidRDefault="00237DC5" w:rsidP="00A74B5C">
      <w:pPr>
        <w:pStyle w:val="Subttulo1"/>
        <w:spacing w:line="360" w:lineRule="auto"/>
        <w:ind w:right="567"/>
        <w:rPr>
          <w:rFonts w:ascii="Arial Narrow" w:hAnsi="Arial Narrow" w:cs="Arial"/>
          <w:color w:val="auto"/>
          <w:sz w:val="28"/>
          <w:szCs w:val="22"/>
          <w:lang w:val="en-US"/>
        </w:rPr>
      </w:pPr>
    </w:p>
    <w:p w:rsidR="00237DC5" w:rsidRDefault="00237DC5" w:rsidP="00A74B5C">
      <w:pPr>
        <w:pStyle w:val="Subttulo1"/>
        <w:spacing w:line="360" w:lineRule="auto"/>
        <w:ind w:right="567"/>
        <w:rPr>
          <w:rFonts w:ascii="Arial Narrow" w:hAnsi="Arial Narrow" w:cs="Arial"/>
          <w:color w:val="auto"/>
          <w:sz w:val="28"/>
          <w:szCs w:val="22"/>
          <w:lang w:val="en-US"/>
        </w:rPr>
      </w:pPr>
    </w:p>
    <w:p w:rsidR="00CD0FE8" w:rsidRDefault="00CD0FE8" w:rsidP="00A74B5C">
      <w:pPr>
        <w:pStyle w:val="Subttulo1"/>
        <w:spacing w:line="360" w:lineRule="auto"/>
        <w:ind w:right="567"/>
        <w:rPr>
          <w:rFonts w:ascii="Arial Narrow" w:hAnsi="Arial Narrow" w:cs="Arial"/>
          <w:color w:val="auto"/>
          <w:sz w:val="28"/>
          <w:szCs w:val="22"/>
          <w:lang w:val="en-US"/>
        </w:rPr>
      </w:pPr>
    </w:p>
    <w:p w:rsidR="00A74B5C" w:rsidRPr="00DA5DD1" w:rsidRDefault="00A74B5C" w:rsidP="00DD2779">
      <w:pPr>
        <w:pStyle w:val="Ttulo1"/>
      </w:pPr>
      <w:bookmarkStart w:id="78" w:name="_Toc440444559"/>
      <w:bookmarkStart w:id="79" w:name="_Toc440563178"/>
      <w:bookmarkStart w:id="80" w:name="_Toc440563720"/>
      <w:r w:rsidRPr="00DA5DD1">
        <w:t>ANNEX III</w:t>
      </w:r>
      <w:bookmarkEnd w:id="78"/>
      <w:bookmarkEnd w:id="79"/>
      <w:bookmarkEnd w:id="80"/>
    </w:p>
    <w:p w:rsidR="00A74B5C" w:rsidRPr="00736F95" w:rsidRDefault="00A74B5C" w:rsidP="00DD2779">
      <w:pPr>
        <w:pStyle w:val="Ttulo1"/>
      </w:pPr>
      <w:bookmarkStart w:id="81" w:name="_Toc440563179"/>
      <w:bookmarkStart w:id="82" w:name="_Toc440563721"/>
      <w:r w:rsidRPr="00736F95">
        <w:t>PROVISIONS THAT ARE NOT PART OF THE SECURITES EXCHANGE ACT AND CONTAIN CHANGES TO THE PENAL CODE</w:t>
      </w:r>
      <w:bookmarkEnd w:id="81"/>
      <w:bookmarkEnd w:id="82"/>
    </w:p>
    <w:p w:rsidR="00A74B5C" w:rsidRPr="001E5A86" w:rsidRDefault="00A74B5C" w:rsidP="001E5A86">
      <w:pPr>
        <w:jc w:val="center"/>
        <w:rPr>
          <w:b/>
        </w:rPr>
      </w:pPr>
    </w:p>
    <w:p w:rsidR="00A74B5C" w:rsidRPr="001E5A86" w:rsidRDefault="00A74B5C" w:rsidP="001E5A86">
      <w:pPr>
        <w:jc w:val="center"/>
        <w:rPr>
          <w:b/>
        </w:rPr>
      </w:pPr>
      <w:bookmarkStart w:id="83" w:name="_Toc440442489"/>
      <w:bookmarkStart w:id="84" w:name="_Toc440444561"/>
      <w:bookmarkStart w:id="85" w:name="_Toc440563180"/>
      <w:bookmarkStart w:id="86" w:name="_Toc440563722"/>
      <w:r w:rsidRPr="001E5A86">
        <w:rPr>
          <w:b/>
        </w:rPr>
        <w:t>Includes</w:t>
      </w:r>
      <w:r w:rsidR="00D61E0E" w:rsidRPr="001E5A86">
        <w:rPr>
          <w:b/>
        </w:rPr>
        <w:t xml:space="preserve"> amendments by</w:t>
      </w:r>
      <w:r w:rsidRPr="001E5A86">
        <w:rPr>
          <w:b/>
        </w:rPr>
        <w:t>:</w:t>
      </w:r>
      <w:bookmarkEnd w:id="83"/>
      <w:bookmarkEnd w:id="84"/>
      <w:bookmarkEnd w:id="85"/>
      <w:bookmarkEnd w:id="86"/>
    </w:p>
    <w:p w:rsidR="00D61E0E" w:rsidRPr="001E5A86" w:rsidRDefault="00D61E0E" w:rsidP="001E5A86">
      <w:pPr>
        <w:jc w:val="center"/>
        <w:rPr>
          <w:b/>
          <w:lang w:val="en-US"/>
        </w:rPr>
      </w:pPr>
    </w:p>
    <w:p w:rsidR="00A74B5C" w:rsidRPr="001E5A86" w:rsidRDefault="00A263CC" w:rsidP="001E5A86">
      <w:pPr>
        <w:jc w:val="center"/>
        <w:rPr>
          <w:b/>
        </w:rPr>
      </w:pPr>
      <w:bookmarkStart w:id="87" w:name="_Toc440444562"/>
      <w:bookmarkStart w:id="88" w:name="_Toc440563181"/>
      <w:bookmarkStart w:id="89" w:name="_Toc440563723"/>
      <w:r w:rsidRPr="001E5A86">
        <w:rPr>
          <w:b/>
        </w:rPr>
        <w:t>Law</w:t>
      </w:r>
      <w:r w:rsidR="00A74B5C" w:rsidRPr="001E5A86">
        <w:rPr>
          <w:b/>
        </w:rPr>
        <w:t xml:space="preserve"> No. 27649 published </w:t>
      </w:r>
      <w:r w:rsidR="00093FB0" w:rsidRPr="001E5A86">
        <w:rPr>
          <w:b/>
        </w:rPr>
        <w:t xml:space="preserve">on </w:t>
      </w:r>
      <w:r w:rsidR="00A74B5C" w:rsidRPr="001E5A86">
        <w:rPr>
          <w:b/>
        </w:rPr>
        <w:t>23.01.2002</w:t>
      </w:r>
      <w:bookmarkEnd w:id="87"/>
      <w:bookmarkEnd w:id="88"/>
      <w:bookmarkEnd w:id="89"/>
    </w:p>
    <w:p w:rsidR="00A74B5C" w:rsidRPr="001E5A86" w:rsidRDefault="00A263CC" w:rsidP="001E5A86">
      <w:pPr>
        <w:jc w:val="center"/>
        <w:rPr>
          <w:b/>
        </w:rPr>
      </w:pPr>
      <w:bookmarkStart w:id="90" w:name="_Toc440444563"/>
      <w:bookmarkStart w:id="91" w:name="_Toc440563182"/>
      <w:bookmarkStart w:id="92" w:name="_Toc440563724"/>
      <w:r w:rsidRPr="001E5A86">
        <w:rPr>
          <w:b/>
        </w:rPr>
        <w:t>Law</w:t>
      </w:r>
      <w:r w:rsidR="00A74B5C" w:rsidRPr="001E5A86">
        <w:rPr>
          <w:b/>
        </w:rPr>
        <w:t xml:space="preserve"> No. 29660 published on 04.02.2011</w:t>
      </w:r>
      <w:bookmarkEnd w:id="90"/>
      <w:bookmarkEnd w:id="91"/>
      <w:bookmarkEnd w:id="92"/>
    </w:p>
    <w:p w:rsidR="00A74B5C" w:rsidRPr="001E5A86" w:rsidRDefault="00A263CC" w:rsidP="001E5A86">
      <w:pPr>
        <w:jc w:val="center"/>
        <w:rPr>
          <w:b/>
        </w:rPr>
      </w:pPr>
      <w:bookmarkStart w:id="93" w:name="_Toc440444564"/>
      <w:bookmarkStart w:id="94" w:name="_Toc440563183"/>
      <w:bookmarkStart w:id="95" w:name="_Toc440563725"/>
      <w:r w:rsidRPr="001E5A86">
        <w:rPr>
          <w:b/>
        </w:rPr>
        <w:t>Law</w:t>
      </w:r>
      <w:r w:rsidR="00A74B5C" w:rsidRPr="001E5A86">
        <w:rPr>
          <w:b/>
        </w:rPr>
        <w:t xml:space="preserve"> No. 30050 published on 26.06.2013</w:t>
      </w:r>
      <w:bookmarkEnd w:id="93"/>
      <w:bookmarkEnd w:id="94"/>
      <w:bookmarkEnd w:id="95"/>
    </w:p>
    <w:p w:rsidR="00A74B5C" w:rsidRPr="000A58B2" w:rsidRDefault="00A74B5C" w:rsidP="00A74B5C">
      <w:pPr>
        <w:rPr>
          <w:lang w:val="en-US"/>
        </w:rPr>
      </w:pPr>
    </w:p>
    <w:p w:rsidR="00A74B5C" w:rsidRPr="000A58B2" w:rsidRDefault="00A74B5C" w:rsidP="00A74B5C">
      <w:pPr>
        <w:rPr>
          <w:lang w:val="en-US"/>
        </w:rPr>
      </w:pPr>
    </w:p>
    <w:p w:rsidR="00A74B5C" w:rsidRPr="000A58B2" w:rsidRDefault="00A74B5C" w:rsidP="00A74B5C">
      <w:pPr>
        <w:rPr>
          <w:lang w:val="en-US"/>
        </w:rPr>
      </w:pPr>
    </w:p>
    <w:p w:rsidR="00A74B5C" w:rsidRPr="000A58B2" w:rsidRDefault="00A74B5C" w:rsidP="00A74B5C">
      <w:pPr>
        <w:rPr>
          <w:lang w:val="en-US"/>
        </w:rPr>
      </w:pPr>
    </w:p>
    <w:p w:rsidR="00A74B5C" w:rsidRPr="000A58B2" w:rsidRDefault="00A74B5C" w:rsidP="00A74B5C">
      <w:pPr>
        <w:rPr>
          <w:lang w:val="en-US"/>
        </w:rPr>
      </w:pPr>
    </w:p>
    <w:p w:rsidR="00A74B5C" w:rsidRPr="000A58B2" w:rsidRDefault="00A74B5C" w:rsidP="00A74B5C">
      <w:pPr>
        <w:rPr>
          <w:lang w:val="en-US"/>
        </w:rPr>
      </w:pPr>
    </w:p>
    <w:p w:rsidR="00A74B5C" w:rsidRPr="000A58B2" w:rsidRDefault="00A74B5C" w:rsidP="00A74B5C">
      <w:pPr>
        <w:rPr>
          <w:lang w:val="en-US"/>
        </w:rPr>
      </w:pPr>
    </w:p>
    <w:p w:rsidR="00A74B5C" w:rsidRPr="000A58B2" w:rsidRDefault="00A74B5C" w:rsidP="00A74B5C">
      <w:pPr>
        <w:rPr>
          <w:lang w:val="en-US"/>
        </w:rPr>
      </w:pPr>
    </w:p>
    <w:p w:rsidR="00A74B5C" w:rsidRPr="000A58B2" w:rsidRDefault="00A74B5C" w:rsidP="00A74B5C">
      <w:pPr>
        <w:rPr>
          <w:lang w:val="en-US"/>
        </w:rPr>
      </w:pPr>
    </w:p>
    <w:p w:rsidR="00A74B5C" w:rsidRPr="000A58B2" w:rsidRDefault="00A74B5C" w:rsidP="00A74B5C">
      <w:pPr>
        <w:rPr>
          <w:lang w:val="en-US"/>
        </w:rPr>
      </w:pPr>
    </w:p>
    <w:p w:rsidR="00A74B5C" w:rsidRPr="000A58B2" w:rsidRDefault="00A74B5C" w:rsidP="00A74B5C">
      <w:pPr>
        <w:rPr>
          <w:lang w:val="en-US"/>
        </w:rPr>
      </w:pPr>
    </w:p>
    <w:p w:rsidR="00A74B5C" w:rsidRPr="000A58B2" w:rsidRDefault="00A74B5C" w:rsidP="00A74B5C">
      <w:pPr>
        <w:rPr>
          <w:lang w:val="en-US"/>
        </w:rPr>
      </w:pPr>
    </w:p>
    <w:p w:rsidR="00D57EC5" w:rsidRDefault="00D57EC5">
      <w:pPr>
        <w:tabs>
          <w:tab w:val="clear" w:pos="1531"/>
        </w:tabs>
        <w:spacing w:after="200" w:line="276" w:lineRule="auto"/>
        <w:jc w:val="left"/>
        <w:rPr>
          <w:lang w:val="en-US"/>
        </w:rPr>
      </w:pPr>
      <w:r>
        <w:rPr>
          <w:lang w:val="en-US"/>
        </w:rPr>
        <w:br w:type="page"/>
      </w:r>
    </w:p>
    <w:p w:rsidR="00A74B5C" w:rsidRPr="00B14E85" w:rsidRDefault="00A263CC" w:rsidP="00DD2779">
      <w:pPr>
        <w:pStyle w:val="Ttulo1"/>
        <w:rPr>
          <w:u w:val="single"/>
        </w:rPr>
      </w:pPr>
      <w:bookmarkStart w:id="96" w:name="_Toc440563184"/>
      <w:bookmarkStart w:id="97" w:name="_Toc440563726"/>
      <w:r w:rsidRPr="00B14E85">
        <w:rPr>
          <w:u w:val="single"/>
        </w:rPr>
        <w:lastRenderedPageBreak/>
        <w:t>Law</w:t>
      </w:r>
      <w:r w:rsidR="00A74B5C" w:rsidRPr="00B14E85">
        <w:rPr>
          <w:u w:val="single"/>
        </w:rPr>
        <w:t xml:space="preserve"> No. 27649: Modifies Legislative Decree No. 861 – Securities Exchange Act</w:t>
      </w:r>
      <w:bookmarkEnd w:id="96"/>
      <w:bookmarkEnd w:id="97"/>
    </w:p>
    <w:p w:rsidR="00B14E85" w:rsidRPr="000A58B2" w:rsidRDefault="00B14E85" w:rsidP="00B14E85">
      <w:pPr>
        <w:pStyle w:val="NormalWeb"/>
        <w:rPr>
          <w:rFonts w:ascii="Arial Narrow" w:hAnsi="Arial Narrow"/>
          <w:b/>
          <w:bCs/>
          <w:sz w:val="22"/>
          <w:szCs w:val="22"/>
          <w:lang w:val="en-US"/>
        </w:rPr>
      </w:pPr>
      <w:r w:rsidRPr="000A58B2">
        <w:rPr>
          <w:rFonts w:ascii="Arial Narrow" w:hAnsi="Arial Narrow"/>
          <w:b/>
          <w:bCs/>
          <w:sz w:val="22"/>
          <w:szCs w:val="22"/>
          <w:lang w:val="en-US"/>
        </w:rPr>
        <w:t>F</w:t>
      </w:r>
      <w:r>
        <w:rPr>
          <w:rFonts w:ascii="Arial Narrow" w:hAnsi="Arial Narrow"/>
          <w:b/>
          <w:bCs/>
          <w:sz w:val="22"/>
          <w:szCs w:val="22"/>
          <w:lang w:val="en-US"/>
        </w:rPr>
        <w:t>inal Transitional Provisions</w:t>
      </w:r>
    </w:p>
    <w:p w:rsidR="00A74B5C" w:rsidRPr="000A58B2" w:rsidRDefault="00A74B5C" w:rsidP="00A74B5C">
      <w:pPr>
        <w:pStyle w:val="NormalWeb"/>
        <w:jc w:val="both"/>
        <w:rPr>
          <w:rFonts w:ascii="Arial Narrow" w:hAnsi="Arial Narrow" w:cs="Arial"/>
          <w:b/>
          <w:bCs/>
          <w:sz w:val="22"/>
          <w:szCs w:val="22"/>
          <w:lang w:val="en-US"/>
        </w:rPr>
      </w:pPr>
      <w:r w:rsidRPr="000A58B2">
        <w:rPr>
          <w:rFonts w:ascii="Arial Narrow" w:hAnsi="Arial Narrow" w:cs="Arial"/>
          <w:b/>
          <w:bCs/>
          <w:sz w:val="22"/>
          <w:szCs w:val="22"/>
          <w:lang w:val="en-US"/>
        </w:rPr>
        <w:t xml:space="preserve">ELEVENTH – Amendments to the </w:t>
      </w:r>
      <w:r w:rsidR="00110F3C">
        <w:rPr>
          <w:rFonts w:ascii="Arial Narrow" w:hAnsi="Arial Narrow" w:cs="Arial"/>
          <w:b/>
          <w:bCs/>
          <w:sz w:val="22"/>
          <w:szCs w:val="22"/>
          <w:lang w:val="en-US"/>
        </w:rPr>
        <w:t>Crimi</w:t>
      </w:r>
      <w:r w:rsidRPr="000A58B2">
        <w:rPr>
          <w:rFonts w:ascii="Arial Narrow" w:hAnsi="Arial Narrow" w:cs="Arial"/>
          <w:b/>
          <w:bCs/>
          <w:sz w:val="22"/>
          <w:szCs w:val="22"/>
          <w:lang w:val="en-US"/>
        </w:rPr>
        <w:t>nal Code</w:t>
      </w:r>
    </w:p>
    <w:p w:rsidR="00A74B5C" w:rsidRPr="000A58B2" w:rsidRDefault="00A74B5C" w:rsidP="00A74B5C">
      <w:pPr>
        <w:pStyle w:val="NormalWeb"/>
        <w:jc w:val="both"/>
        <w:rPr>
          <w:rFonts w:ascii="Arial Narrow" w:hAnsi="Arial Narrow"/>
          <w:sz w:val="22"/>
          <w:szCs w:val="22"/>
          <w:lang w:val="en-US"/>
        </w:rPr>
      </w:pPr>
      <w:r w:rsidRPr="000A58B2">
        <w:rPr>
          <w:rFonts w:ascii="Arial Narrow" w:hAnsi="Arial Narrow"/>
          <w:sz w:val="22"/>
          <w:szCs w:val="22"/>
          <w:lang w:val="en-US"/>
        </w:rPr>
        <w:t xml:space="preserve">Merge Title IX of the </w:t>
      </w:r>
      <w:r w:rsidR="007A2222">
        <w:rPr>
          <w:rFonts w:ascii="Arial Narrow" w:hAnsi="Arial Narrow"/>
          <w:sz w:val="22"/>
          <w:szCs w:val="22"/>
          <w:lang w:val="en-US"/>
        </w:rPr>
        <w:t>Crimina</w:t>
      </w:r>
      <w:r w:rsidRPr="000A58B2">
        <w:rPr>
          <w:rFonts w:ascii="Arial Narrow" w:hAnsi="Arial Narrow"/>
          <w:sz w:val="22"/>
          <w:szCs w:val="22"/>
          <w:lang w:val="en-US"/>
        </w:rPr>
        <w:t>l Code to the following chapter:</w:t>
      </w:r>
    </w:p>
    <w:p w:rsidR="00A74B5C" w:rsidRPr="000A58B2" w:rsidRDefault="00A74B5C" w:rsidP="00A74B5C">
      <w:pPr>
        <w:pStyle w:val="NormalWeb"/>
        <w:jc w:val="both"/>
        <w:rPr>
          <w:rFonts w:ascii="Arial Narrow" w:hAnsi="Arial Narrow"/>
          <w:b/>
          <w:sz w:val="22"/>
          <w:szCs w:val="22"/>
          <w:lang w:val="en-US"/>
        </w:rPr>
      </w:pPr>
      <w:r w:rsidRPr="000A58B2">
        <w:rPr>
          <w:rFonts w:ascii="Arial Narrow" w:hAnsi="Arial Narrow"/>
          <w:b/>
          <w:sz w:val="22"/>
          <w:szCs w:val="22"/>
          <w:lang w:val="en-US"/>
        </w:rPr>
        <w:t xml:space="preserve"> “Chapter V</w:t>
      </w:r>
    </w:p>
    <w:p w:rsidR="00A74B5C" w:rsidRPr="000A58B2" w:rsidRDefault="00A74B5C" w:rsidP="00A74B5C">
      <w:pPr>
        <w:pStyle w:val="NormalWeb"/>
        <w:jc w:val="both"/>
        <w:rPr>
          <w:rFonts w:ascii="Arial Narrow" w:hAnsi="Arial Narrow"/>
          <w:sz w:val="22"/>
          <w:szCs w:val="22"/>
          <w:lang w:val="en-US"/>
        </w:rPr>
      </w:pPr>
      <w:r w:rsidRPr="000A58B2">
        <w:rPr>
          <w:rFonts w:ascii="Arial Narrow" w:hAnsi="Arial Narrow"/>
          <w:b/>
          <w:sz w:val="22"/>
          <w:szCs w:val="22"/>
          <w:lang w:val="en-US"/>
        </w:rPr>
        <w:t xml:space="preserve">Article 243-B – </w:t>
      </w:r>
      <w:r w:rsidRPr="000A58B2">
        <w:rPr>
          <w:rFonts w:ascii="Arial Narrow" w:hAnsi="Arial Narrow"/>
          <w:sz w:val="22"/>
          <w:szCs w:val="22"/>
          <w:lang w:val="en-US"/>
        </w:rPr>
        <w:t>He who, whether through his own action or through a third party, performs the activities of a broker, without permission to do so, and effectively carries out transactions or causes the sale or purchase of goods, by means of any action, practice, or misleading or fraudulent mechanism and so long as the goods involved in this action have a market value of more than four (4) Tax Units, will face imprisonment of no less than one (1) and no more than five (5) years.”</w:t>
      </w:r>
    </w:p>
    <w:p w:rsidR="00237DC5" w:rsidRDefault="00237DC5" w:rsidP="001E5A86"/>
    <w:p w:rsidR="00A74B5C" w:rsidRPr="00B14E85" w:rsidRDefault="00A263CC" w:rsidP="00DD2779">
      <w:pPr>
        <w:pStyle w:val="Ttulo1"/>
        <w:rPr>
          <w:u w:val="single"/>
        </w:rPr>
      </w:pPr>
      <w:bookmarkStart w:id="98" w:name="_Toc440563185"/>
      <w:bookmarkStart w:id="99" w:name="_Toc440563727"/>
      <w:r w:rsidRPr="00B14E85">
        <w:rPr>
          <w:u w:val="single"/>
        </w:rPr>
        <w:t>Law</w:t>
      </w:r>
      <w:r w:rsidR="00A74B5C" w:rsidRPr="00B14E85">
        <w:rPr>
          <w:u w:val="single"/>
        </w:rPr>
        <w:t xml:space="preserve"> No. 29660: Establishes methods to penalize price manipulation in stock market</w:t>
      </w:r>
      <w:bookmarkEnd w:id="98"/>
      <w:bookmarkEnd w:id="99"/>
    </w:p>
    <w:p w:rsidR="00A74B5C" w:rsidRPr="000A58B2" w:rsidRDefault="00A74B5C" w:rsidP="00A74B5C">
      <w:pPr>
        <w:pStyle w:val="NormalWeb"/>
        <w:jc w:val="both"/>
        <w:rPr>
          <w:rFonts w:ascii="Arial Narrow" w:hAnsi="Arial Narrow"/>
          <w:b/>
          <w:sz w:val="22"/>
          <w:szCs w:val="22"/>
          <w:lang w:val="en-US"/>
        </w:rPr>
      </w:pPr>
      <w:bookmarkStart w:id="100" w:name="JD_L29660-A4"/>
      <w:bookmarkEnd w:id="100"/>
      <w:r w:rsidRPr="000A58B2">
        <w:rPr>
          <w:rFonts w:ascii="Arial Narrow" w:hAnsi="Arial Narrow"/>
          <w:b/>
          <w:sz w:val="22"/>
          <w:szCs w:val="22"/>
          <w:lang w:val="en-US"/>
        </w:rPr>
        <w:t xml:space="preserve">Article 4 – Incorporation of Article 251-B to </w:t>
      </w:r>
      <w:r w:rsidR="007A2222">
        <w:rPr>
          <w:rFonts w:ascii="Arial Narrow" w:hAnsi="Arial Narrow"/>
          <w:b/>
          <w:sz w:val="22"/>
          <w:szCs w:val="22"/>
          <w:lang w:val="en-US"/>
        </w:rPr>
        <w:t>Crimin</w:t>
      </w:r>
      <w:r w:rsidRPr="000A58B2">
        <w:rPr>
          <w:rFonts w:ascii="Arial Narrow" w:hAnsi="Arial Narrow"/>
          <w:b/>
          <w:sz w:val="22"/>
          <w:szCs w:val="22"/>
          <w:lang w:val="en-US"/>
        </w:rPr>
        <w:t>al Code</w:t>
      </w:r>
    </w:p>
    <w:p w:rsidR="00A74B5C" w:rsidRPr="000A58B2" w:rsidRDefault="00A74B5C" w:rsidP="00A74B5C">
      <w:pPr>
        <w:pStyle w:val="NormalWeb"/>
        <w:jc w:val="both"/>
        <w:rPr>
          <w:rFonts w:ascii="Arial Narrow" w:hAnsi="Arial Narrow"/>
          <w:sz w:val="22"/>
          <w:szCs w:val="22"/>
          <w:lang w:val="en-US"/>
        </w:rPr>
      </w:pPr>
      <w:r w:rsidRPr="000A58B2">
        <w:rPr>
          <w:rFonts w:ascii="Arial Narrow" w:hAnsi="Arial Narrow"/>
          <w:sz w:val="22"/>
          <w:szCs w:val="22"/>
          <w:lang w:val="en-US"/>
        </w:rPr>
        <w:t xml:space="preserve">Incorporate following text of Article 251-B to the </w:t>
      </w:r>
      <w:r w:rsidR="002503EA">
        <w:rPr>
          <w:rFonts w:ascii="Arial Narrow" w:hAnsi="Arial Narrow"/>
          <w:sz w:val="22"/>
          <w:szCs w:val="22"/>
          <w:lang w:val="en-US"/>
        </w:rPr>
        <w:t>Crimin</w:t>
      </w:r>
      <w:r w:rsidRPr="000A58B2">
        <w:rPr>
          <w:rFonts w:ascii="Arial Narrow" w:hAnsi="Arial Narrow"/>
          <w:sz w:val="22"/>
          <w:szCs w:val="22"/>
          <w:lang w:val="en-US"/>
        </w:rPr>
        <w:t>al Code</w:t>
      </w:r>
    </w:p>
    <w:p w:rsidR="00A74B5C" w:rsidRPr="000A58B2" w:rsidRDefault="00A74B5C" w:rsidP="00A74B5C">
      <w:pPr>
        <w:pStyle w:val="NormalWeb"/>
        <w:jc w:val="both"/>
        <w:rPr>
          <w:rFonts w:ascii="Arial Narrow" w:hAnsi="Arial Narrow"/>
          <w:b/>
          <w:sz w:val="22"/>
          <w:szCs w:val="22"/>
          <w:lang w:val="en-US"/>
        </w:rPr>
      </w:pPr>
      <w:r w:rsidRPr="000A58B2">
        <w:rPr>
          <w:rFonts w:ascii="Arial Narrow" w:hAnsi="Arial Narrow"/>
          <w:sz w:val="22"/>
          <w:szCs w:val="22"/>
          <w:lang w:val="en-US"/>
        </w:rPr>
        <w:t>“</w:t>
      </w:r>
      <w:r w:rsidRPr="000A58B2">
        <w:rPr>
          <w:rFonts w:ascii="Arial Narrow" w:hAnsi="Arial Narrow"/>
          <w:b/>
          <w:sz w:val="22"/>
          <w:szCs w:val="22"/>
          <w:lang w:val="en-US"/>
        </w:rPr>
        <w:t xml:space="preserve">Article 251-B: Price </w:t>
      </w:r>
      <w:r w:rsidR="00093FB0">
        <w:rPr>
          <w:rFonts w:ascii="Arial Narrow" w:hAnsi="Arial Narrow"/>
          <w:b/>
          <w:sz w:val="22"/>
          <w:szCs w:val="22"/>
          <w:lang w:val="en-US"/>
        </w:rPr>
        <w:t>fixing</w:t>
      </w:r>
      <w:r w:rsidRPr="000A58B2">
        <w:rPr>
          <w:rFonts w:ascii="Arial Narrow" w:hAnsi="Arial Narrow"/>
          <w:b/>
          <w:sz w:val="22"/>
          <w:szCs w:val="22"/>
          <w:lang w:val="en-US"/>
        </w:rPr>
        <w:t xml:space="preserve"> in stock market</w:t>
      </w:r>
    </w:p>
    <w:p w:rsidR="00A74B5C" w:rsidRPr="000A58B2" w:rsidRDefault="00A74B5C" w:rsidP="00A74B5C">
      <w:pPr>
        <w:pStyle w:val="NormalWeb"/>
        <w:jc w:val="both"/>
        <w:rPr>
          <w:rFonts w:ascii="Arial Narrow" w:hAnsi="Arial Narrow"/>
          <w:sz w:val="22"/>
          <w:szCs w:val="22"/>
          <w:lang w:val="en-US"/>
        </w:rPr>
      </w:pPr>
      <w:r w:rsidRPr="000A58B2">
        <w:rPr>
          <w:rFonts w:ascii="Arial Narrow" w:hAnsi="Arial Narrow"/>
          <w:sz w:val="22"/>
          <w:szCs w:val="22"/>
          <w:lang w:val="en-US"/>
        </w:rPr>
        <w:t xml:space="preserve">He who delivers false or misleading signals regarding the </w:t>
      </w:r>
      <w:r w:rsidR="00093FB0">
        <w:rPr>
          <w:rFonts w:ascii="Arial Narrow" w:hAnsi="Arial Narrow"/>
          <w:sz w:val="22"/>
          <w:szCs w:val="22"/>
          <w:lang w:val="en-US"/>
        </w:rPr>
        <w:t>supply</w:t>
      </w:r>
      <w:r w:rsidRPr="000A58B2">
        <w:rPr>
          <w:rFonts w:ascii="Arial Narrow" w:hAnsi="Arial Narrow"/>
          <w:sz w:val="22"/>
          <w:szCs w:val="22"/>
          <w:lang w:val="en-US"/>
        </w:rPr>
        <w:t xml:space="preserve"> or demand of a financial good, whether for personal or third party benefit, via transactions that raise or lower prices, or increase or lower liquidity, will face imprisonment of no less than one (1) and no more than five (5) years, so long as the transactions are of more than three hundred (300) Tax Units at the time the crime was carried out, or if the benefit, loss avoided, or injury caused also surpasses that amount.</w:t>
      </w:r>
    </w:p>
    <w:p w:rsidR="00A74B5C" w:rsidRPr="000A58B2" w:rsidRDefault="00A74B5C" w:rsidP="00A74B5C">
      <w:pPr>
        <w:pStyle w:val="NormalWeb"/>
        <w:jc w:val="both"/>
        <w:rPr>
          <w:rFonts w:ascii="Arial Narrow" w:hAnsi="Arial Narrow"/>
          <w:sz w:val="22"/>
          <w:szCs w:val="22"/>
          <w:lang w:val="en-US"/>
        </w:rPr>
      </w:pPr>
      <w:r w:rsidRPr="000A58B2">
        <w:rPr>
          <w:rFonts w:ascii="Arial Narrow" w:hAnsi="Arial Narrow"/>
          <w:sz w:val="22"/>
          <w:szCs w:val="22"/>
          <w:lang w:val="en-US"/>
        </w:rPr>
        <w:t xml:space="preserve">This punishment will also be given to directors, managers, investment committee members, officials, and any person linked to the investment process of an </w:t>
      </w:r>
      <w:r w:rsidRPr="00093FB0">
        <w:rPr>
          <w:rFonts w:ascii="Arial Narrow" w:hAnsi="Arial Narrow"/>
          <w:sz w:val="22"/>
          <w:szCs w:val="22"/>
          <w:lang w:val="en-US"/>
        </w:rPr>
        <w:t xml:space="preserve">institutional investor who, whether for personal or third party benefit, manipulated the price of their portfolio or any financial instrument </w:t>
      </w:r>
      <w:r w:rsidR="00B31A5E" w:rsidRPr="00093FB0">
        <w:rPr>
          <w:rFonts w:ascii="Arial Narrow" w:hAnsi="Arial Narrow"/>
          <w:sz w:val="22"/>
          <w:szCs w:val="22"/>
          <w:lang w:val="en-US"/>
        </w:rPr>
        <w:t>or, managed</w:t>
      </w:r>
      <w:r w:rsidRPr="00093FB0">
        <w:rPr>
          <w:rFonts w:ascii="Arial Narrow" w:hAnsi="Arial Narrow"/>
          <w:sz w:val="22"/>
          <w:szCs w:val="22"/>
          <w:lang w:val="en-US"/>
        </w:rPr>
        <w:t xml:space="preserve"> by another institutional investor, via transactions, raised or lowered the price, or increased or reduced the liquidity of </w:t>
      </w:r>
      <w:r w:rsidR="00B31A5E" w:rsidRPr="00093FB0">
        <w:rPr>
          <w:rFonts w:ascii="Arial Narrow" w:hAnsi="Arial Narrow"/>
          <w:sz w:val="22"/>
          <w:szCs w:val="22"/>
          <w:lang w:val="en-US"/>
        </w:rPr>
        <w:t>securities</w:t>
      </w:r>
      <w:r w:rsidRPr="00093FB0">
        <w:rPr>
          <w:rFonts w:ascii="Arial Narrow" w:hAnsi="Arial Narrow"/>
          <w:sz w:val="22"/>
          <w:szCs w:val="22"/>
          <w:lang w:val="en-US"/>
        </w:rPr>
        <w:t xml:space="preserve"> or financial instruments that are part of said portfolio.</w:t>
      </w:r>
    </w:p>
    <w:p w:rsidR="00A74B5C" w:rsidRPr="000A58B2" w:rsidRDefault="00A74B5C" w:rsidP="00A74B5C">
      <w:pPr>
        <w:pStyle w:val="NormalWeb"/>
        <w:jc w:val="both"/>
        <w:rPr>
          <w:rFonts w:ascii="Arial Narrow" w:hAnsi="Arial Narrow"/>
          <w:sz w:val="22"/>
          <w:szCs w:val="22"/>
          <w:lang w:val="en-US"/>
        </w:rPr>
      </w:pPr>
      <w:r w:rsidRPr="000A58B2">
        <w:rPr>
          <w:rFonts w:ascii="Arial Narrow" w:hAnsi="Arial Narrow"/>
          <w:sz w:val="22"/>
          <w:szCs w:val="22"/>
          <w:lang w:val="en-US"/>
        </w:rPr>
        <w:t>Prior to the Prosecutor’s Office formalizing the respective claim, there must be a technical report provided by CONASEV (National Supervisory Committee of Companies &amp; Securities).”</w:t>
      </w:r>
    </w:p>
    <w:p w:rsidR="00A74B5C" w:rsidRPr="00B14E85" w:rsidRDefault="00A263CC" w:rsidP="00DD2779">
      <w:pPr>
        <w:pStyle w:val="Ttulo1"/>
        <w:rPr>
          <w:u w:val="single"/>
        </w:rPr>
      </w:pPr>
      <w:bookmarkStart w:id="101" w:name="_Toc440563186"/>
      <w:bookmarkStart w:id="102" w:name="_Toc440563728"/>
      <w:r w:rsidRPr="00B14E85">
        <w:rPr>
          <w:u w:val="single"/>
        </w:rPr>
        <w:t>Law</w:t>
      </w:r>
      <w:r w:rsidR="00A74B5C" w:rsidRPr="00B14E85">
        <w:rPr>
          <w:u w:val="single"/>
        </w:rPr>
        <w:t xml:space="preserve"> No. 30050: Stock Market Promotion Law</w:t>
      </w:r>
      <w:bookmarkEnd w:id="101"/>
      <w:bookmarkEnd w:id="102"/>
    </w:p>
    <w:p w:rsidR="00A74B5C" w:rsidRPr="000A58B2" w:rsidRDefault="00A74B5C" w:rsidP="00A74B5C">
      <w:pPr>
        <w:pStyle w:val="NormalWeb"/>
        <w:jc w:val="both"/>
        <w:rPr>
          <w:rFonts w:ascii="Arial Narrow" w:hAnsi="Arial Narrow" w:cs="Arial"/>
          <w:b/>
          <w:bCs/>
          <w:sz w:val="22"/>
          <w:szCs w:val="22"/>
          <w:lang w:val="en-US"/>
        </w:rPr>
      </w:pPr>
      <w:proofErr w:type="gramStart"/>
      <w:r w:rsidRPr="000A58B2">
        <w:rPr>
          <w:rFonts w:ascii="Arial Narrow" w:hAnsi="Arial Narrow" w:cs="Arial"/>
          <w:b/>
          <w:bCs/>
          <w:sz w:val="22"/>
          <w:szCs w:val="22"/>
          <w:lang w:val="en-US"/>
        </w:rPr>
        <w:t>Article 14.</w:t>
      </w:r>
      <w:proofErr w:type="gramEnd"/>
      <w:r w:rsidRPr="000A58B2">
        <w:rPr>
          <w:rFonts w:ascii="Arial Narrow" w:hAnsi="Arial Narrow" w:cs="Arial"/>
          <w:b/>
          <w:bCs/>
          <w:sz w:val="22"/>
          <w:szCs w:val="22"/>
          <w:lang w:val="en-US"/>
        </w:rPr>
        <w:t xml:space="preserve"> Incorporation of article 245-A and of the final paragraph of article 251-A of Legislative Decree 635 </w:t>
      </w:r>
      <w:r w:rsidRPr="001A01D5">
        <w:rPr>
          <w:rFonts w:ascii="Arial Narrow" w:hAnsi="Arial Narrow" w:cs="Arial"/>
          <w:b/>
          <w:bCs/>
          <w:sz w:val="22"/>
          <w:szCs w:val="22"/>
          <w:lang w:val="en-US"/>
        </w:rPr>
        <w:t xml:space="preserve">into </w:t>
      </w:r>
      <w:r w:rsidR="007A2222">
        <w:rPr>
          <w:rFonts w:ascii="Arial Narrow" w:hAnsi="Arial Narrow" w:cs="Arial"/>
          <w:b/>
          <w:bCs/>
          <w:sz w:val="22"/>
          <w:szCs w:val="22"/>
          <w:lang w:val="en-US"/>
        </w:rPr>
        <w:t>Crimi</w:t>
      </w:r>
      <w:r w:rsidRPr="001A01D5">
        <w:rPr>
          <w:rFonts w:ascii="Arial Narrow" w:hAnsi="Arial Narrow" w:cs="Arial"/>
          <w:b/>
          <w:bCs/>
          <w:sz w:val="22"/>
          <w:szCs w:val="22"/>
          <w:lang w:val="en-US"/>
        </w:rPr>
        <w:t>nal Code</w:t>
      </w:r>
    </w:p>
    <w:p w:rsidR="00A74B5C" w:rsidRPr="00093FB0" w:rsidRDefault="00A74B5C" w:rsidP="00A74B5C">
      <w:pPr>
        <w:pStyle w:val="NormalWeb"/>
        <w:jc w:val="both"/>
        <w:rPr>
          <w:rFonts w:ascii="Arial Narrow" w:hAnsi="Arial Narrow" w:cs="Arial"/>
          <w:sz w:val="22"/>
          <w:szCs w:val="22"/>
          <w:lang w:val="en-US"/>
        </w:rPr>
      </w:pPr>
      <w:r w:rsidRPr="00093FB0">
        <w:rPr>
          <w:rFonts w:ascii="Arial Narrow" w:hAnsi="Arial Narrow" w:cs="Arial"/>
          <w:sz w:val="22"/>
          <w:szCs w:val="22"/>
          <w:lang w:val="en-US"/>
        </w:rPr>
        <w:t>Incorporate article 245-</w:t>
      </w:r>
      <w:proofErr w:type="gramStart"/>
      <w:r w:rsidRPr="00093FB0">
        <w:rPr>
          <w:rFonts w:ascii="Arial Narrow" w:hAnsi="Arial Narrow" w:cs="Arial"/>
          <w:sz w:val="22"/>
          <w:szCs w:val="22"/>
          <w:lang w:val="en-US"/>
        </w:rPr>
        <w:t>A and</w:t>
      </w:r>
      <w:proofErr w:type="gramEnd"/>
      <w:r w:rsidRPr="00093FB0">
        <w:rPr>
          <w:rFonts w:ascii="Arial Narrow" w:hAnsi="Arial Narrow" w:cs="Arial"/>
          <w:sz w:val="22"/>
          <w:szCs w:val="22"/>
          <w:lang w:val="en-US"/>
        </w:rPr>
        <w:t xml:space="preserve"> the final paragraph of article 251-A of Legislative Decree 635 into the </w:t>
      </w:r>
      <w:r w:rsidR="00665531">
        <w:rPr>
          <w:rFonts w:ascii="Arial Narrow" w:hAnsi="Arial Narrow" w:cs="Arial"/>
          <w:sz w:val="22"/>
          <w:szCs w:val="22"/>
          <w:lang w:val="en-US"/>
        </w:rPr>
        <w:t>Crimin</w:t>
      </w:r>
      <w:r w:rsidRPr="00093FB0">
        <w:rPr>
          <w:rFonts w:ascii="Arial Narrow" w:hAnsi="Arial Narrow" w:cs="Arial"/>
          <w:sz w:val="22"/>
          <w:szCs w:val="22"/>
          <w:lang w:val="en-US"/>
        </w:rPr>
        <w:t xml:space="preserve">al </w:t>
      </w:r>
      <w:r w:rsidR="00414CB0">
        <w:rPr>
          <w:rFonts w:ascii="Arial Narrow" w:hAnsi="Arial Narrow" w:cs="Arial"/>
          <w:sz w:val="22"/>
          <w:szCs w:val="22"/>
          <w:lang w:val="en-US"/>
        </w:rPr>
        <w:t>C</w:t>
      </w:r>
      <w:r w:rsidRPr="00093FB0">
        <w:rPr>
          <w:rFonts w:ascii="Arial Narrow" w:hAnsi="Arial Narrow" w:cs="Arial"/>
          <w:sz w:val="22"/>
          <w:szCs w:val="22"/>
          <w:lang w:val="en-US"/>
        </w:rPr>
        <w:t>ode and word them as follows:</w:t>
      </w:r>
    </w:p>
    <w:p w:rsidR="00A74B5C" w:rsidRPr="00093FB0" w:rsidRDefault="00A74B5C" w:rsidP="00A74B5C">
      <w:pPr>
        <w:pStyle w:val="NormalWeb"/>
        <w:jc w:val="both"/>
        <w:rPr>
          <w:rFonts w:ascii="Arial Narrow" w:hAnsi="Arial Narrow" w:cs="Arial"/>
          <w:b/>
          <w:bCs/>
          <w:sz w:val="22"/>
          <w:szCs w:val="22"/>
          <w:lang w:val="en-US"/>
        </w:rPr>
      </w:pPr>
      <w:r w:rsidRPr="00093FB0">
        <w:rPr>
          <w:rFonts w:ascii="Arial Narrow" w:hAnsi="Arial Narrow" w:cs="Arial"/>
          <w:b/>
          <w:bCs/>
          <w:sz w:val="22"/>
          <w:szCs w:val="22"/>
          <w:lang w:val="en-US"/>
        </w:rPr>
        <w:t xml:space="preserve">Article </w:t>
      </w:r>
      <w:proofErr w:type="gramStart"/>
      <w:r w:rsidRPr="00093FB0">
        <w:rPr>
          <w:rFonts w:ascii="Arial Narrow" w:hAnsi="Arial Narrow" w:cs="Arial"/>
          <w:b/>
          <w:bCs/>
          <w:sz w:val="22"/>
          <w:szCs w:val="22"/>
          <w:lang w:val="en-US"/>
        </w:rPr>
        <w:t xml:space="preserve">245-A – False information presented </w:t>
      </w:r>
      <w:r w:rsidRPr="000A58B2">
        <w:rPr>
          <w:rFonts w:ascii="Arial Narrow" w:hAnsi="Arial Narrow" w:cs="Arial"/>
          <w:b/>
          <w:bCs/>
          <w:sz w:val="22"/>
          <w:szCs w:val="22"/>
          <w:lang w:val="en-US"/>
        </w:rPr>
        <w:t xml:space="preserve">in the </w:t>
      </w:r>
      <w:r w:rsidRPr="00093FB0">
        <w:rPr>
          <w:rFonts w:ascii="Arial Narrow" w:hAnsi="Arial Narrow" w:cs="Arial"/>
          <w:b/>
          <w:bCs/>
          <w:sz w:val="22"/>
          <w:szCs w:val="22"/>
          <w:lang w:val="en-US"/>
        </w:rPr>
        <w:t>Stock Market</w:t>
      </w:r>
      <w:r w:rsidR="002503EA" w:rsidRPr="002503EA">
        <w:rPr>
          <w:rFonts w:ascii="Arial Narrow" w:hAnsi="Arial Narrow" w:cs="Arial"/>
          <w:b/>
          <w:bCs/>
          <w:sz w:val="22"/>
          <w:szCs w:val="22"/>
          <w:lang w:val="en-US"/>
        </w:rPr>
        <w:t xml:space="preserve"> </w:t>
      </w:r>
      <w:r w:rsidR="002503EA" w:rsidRPr="00093FB0">
        <w:rPr>
          <w:rFonts w:ascii="Arial Narrow" w:hAnsi="Arial Narrow" w:cs="Arial"/>
          <w:b/>
          <w:bCs/>
          <w:sz w:val="22"/>
          <w:szCs w:val="22"/>
          <w:lang w:val="en-US"/>
        </w:rPr>
        <w:t>by</w:t>
      </w:r>
      <w:r w:rsidR="002503EA" w:rsidRPr="000A58B2">
        <w:rPr>
          <w:rFonts w:ascii="Arial Narrow" w:hAnsi="Arial Narrow" w:cs="Arial"/>
          <w:b/>
          <w:bCs/>
          <w:sz w:val="22"/>
          <w:szCs w:val="22"/>
          <w:lang w:val="en-US"/>
        </w:rPr>
        <w:t xml:space="preserve"> an issuer</w:t>
      </w:r>
      <w:proofErr w:type="gramEnd"/>
      <w:r w:rsidRPr="00093FB0">
        <w:rPr>
          <w:rFonts w:ascii="Arial Narrow" w:hAnsi="Arial Narrow" w:cs="Arial"/>
          <w:b/>
          <w:bCs/>
          <w:sz w:val="22"/>
          <w:szCs w:val="22"/>
          <w:lang w:val="en-US"/>
        </w:rPr>
        <w:t>.</w:t>
      </w:r>
    </w:p>
    <w:p w:rsidR="00A74B5C" w:rsidRPr="000A58B2" w:rsidRDefault="00A74B5C" w:rsidP="00A74B5C">
      <w:pPr>
        <w:pStyle w:val="NormalWeb"/>
        <w:jc w:val="both"/>
        <w:rPr>
          <w:rFonts w:ascii="Arial Narrow" w:hAnsi="Arial Narrow" w:cs="Arial"/>
          <w:sz w:val="22"/>
          <w:szCs w:val="22"/>
          <w:lang w:val="en-US"/>
        </w:rPr>
      </w:pPr>
      <w:r w:rsidRPr="00093FB0">
        <w:rPr>
          <w:rFonts w:ascii="Arial Narrow" w:hAnsi="Arial Narrow" w:cs="Arial"/>
          <w:sz w:val="22"/>
          <w:szCs w:val="22"/>
          <w:lang w:val="en-US"/>
        </w:rPr>
        <w:t xml:space="preserve">He who administers an issuer who has securities registered in the Stock Market Public Registry and who deliberately provides or gathers false documentation regarding the economic-financial nature, or the </w:t>
      </w:r>
      <w:r w:rsidRPr="00093FB0">
        <w:rPr>
          <w:rFonts w:ascii="Arial Narrow" w:hAnsi="Arial Narrow" w:cs="Arial"/>
          <w:sz w:val="22"/>
          <w:szCs w:val="22"/>
          <w:lang w:val="en-US"/>
        </w:rPr>
        <w:lastRenderedPageBreak/>
        <w:t xml:space="preserve">accounting or corporate nature related to the </w:t>
      </w:r>
      <w:r w:rsidR="00206E4E" w:rsidRPr="00093FB0">
        <w:rPr>
          <w:rFonts w:ascii="Arial Narrow" w:hAnsi="Arial Narrow" w:cs="Arial"/>
          <w:sz w:val="22"/>
          <w:szCs w:val="22"/>
          <w:lang w:val="en-US"/>
        </w:rPr>
        <w:t>issuer, the</w:t>
      </w:r>
      <w:r w:rsidRPr="00093FB0">
        <w:rPr>
          <w:rFonts w:ascii="Arial Narrow" w:hAnsi="Arial Narrow" w:cs="Arial"/>
          <w:sz w:val="22"/>
          <w:szCs w:val="22"/>
          <w:lang w:val="en-US"/>
        </w:rPr>
        <w:t xml:space="preserve"> securities issued, and the offers made for these, in order to obtain some benefit or to avoid personal or third party damage, will face imprisonment of no less than two and no more than four years and with day-fines anywhere between</w:t>
      </w:r>
      <w:r w:rsidRPr="000A58B2">
        <w:rPr>
          <w:rFonts w:ascii="Arial Narrow" w:hAnsi="Arial Narrow" w:cs="Arial"/>
          <w:sz w:val="22"/>
          <w:szCs w:val="22"/>
          <w:lang w:val="en-US"/>
        </w:rPr>
        <w:t xml:space="preserve"> one hundred and eighty to three hundred and sixty-five.</w:t>
      </w:r>
    </w:p>
    <w:p w:rsidR="00A74B5C" w:rsidRPr="000A58B2" w:rsidRDefault="00A74B5C" w:rsidP="00A74B5C">
      <w:pPr>
        <w:pStyle w:val="NormalWeb"/>
        <w:jc w:val="both"/>
        <w:rPr>
          <w:rFonts w:ascii="Arial Narrow" w:hAnsi="Arial Narrow" w:cs="Arial"/>
          <w:sz w:val="22"/>
          <w:szCs w:val="22"/>
          <w:lang w:val="en-US"/>
        </w:rPr>
      </w:pPr>
      <w:r w:rsidRPr="000A58B2">
        <w:rPr>
          <w:rFonts w:ascii="Arial Narrow" w:hAnsi="Arial Narrow" w:cs="Arial"/>
          <w:sz w:val="22"/>
          <w:szCs w:val="22"/>
          <w:lang w:val="en-US"/>
        </w:rPr>
        <w:t xml:space="preserve">If by consequence of the actions described in the paragraph above there is economic damage to some investor or purchaser of </w:t>
      </w:r>
      <w:r w:rsidR="00093FB0">
        <w:rPr>
          <w:rFonts w:ascii="Arial Narrow" w:hAnsi="Arial Narrow" w:cs="Arial"/>
          <w:sz w:val="22"/>
          <w:szCs w:val="22"/>
          <w:lang w:val="en-US"/>
        </w:rPr>
        <w:t>securities</w:t>
      </w:r>
      <w:r w:rsidRPr="000A58B2">
        <w:rPr>
          <w:rFonts w:ascii="Arial Narrow" w:hAnsi="Arial Narrow" w:cs="Arial"/>
          <w:sz w:val="22"/>
          <w:szCs w:val="22"/>
          <w:lang w:val="en-US"/>
        </w:rPr>
        <w:t xml:space="preserve"> or financial goods, the agent will face imprisonment of no less than three and no more than six years and with day-fines </w:t>
      </w:r>
      <w:proofErr w:type="gramStart"/>
      <w:r w:rsidRPr="000A58B2">
        <w:rPr>
          <w:rFonts w:ascii="Arial Narrow" w:hAnsi="Arial Narrow" w:cs="Arial"/>
          <w:sz w:val="22"/>
          <w:szCs w:val="22"/>
          <w:lang w:val="en-US"/>
        </w:rPr>
        <w:t>anywhere between one hundred and eighty to three hundred and sixty-five</w:t>
      </w:r>
      <w:proofErr w:type="gramEnd"/>
      <w:r w:rsidRPr="000A58B2">
        <w:rPr>
          <w:rFonts w:ascii="Arial Narrow" w:hAnsi="Arial Narrow" w:cs="Arial"/>
          <w:sz w:val="22"/>
          <w:szCs w:val="22"/>
          <w:lang w:val="en-US"/>
        </w:rPr>
        <w:t>.</w:t>
      </w:r>
    </w:p>
    <w:p w:rsidR="00A74B5C" w:rsidRPr="00093FB0" w:rsidRDefault="00A74B5C" w:rsidP="00A74B5C">
      <w:pPr>
        <w:pStyle w:val="NormalWeb"/>
        <w:jc w:val="both"/>
        <w:rPr>
          <w:rFonts w:ascii="Arial Narrow" w:hAnsi="Arial Narrow" w:cs="Arial"/>
          <w:sz w:val="22"/>
          <w:szCs w:val="22"/>
          <w:lang w:val="en-US"/>
        </w:rPr>
      </w:pPr>
      <w:r w:rsidRPr="000A58B2">
        <w:rPr>
          <w:rFonts w:ascii="Arial Narrow" w:hAnsi="Arial Narrow" w:cs="Arial"/>
          <w:sz w:val="22"/>
          <w:szCs w:val="22"/>
          <w:lang w:val="en-US"/>
        </w:rPr>
        <w:t xml:space="preserve">Prior to the formalization </w:t>
      </w:r>
      <w:r w:rsidRPr="00093FB0">
        <w:rPr>
          <w:rFonts w:ascii="Arial Narrow" w:hAnsi="Arial Narrow" w:cs="Arial"/>
          <w:sz w:val="22"/>
          <w:szCs w:val="22"/>
          <w:lang w:val="en-US"/>
        </w:rPr>
        <w:t xml:space="preserve">of the respective claim, the Prosecutor’s Office must acquire a technical report from the Superintendence of Securities </w:t>
      </w:r>
      <w:r w:rsidR="00206E4E">
        <w:rPr>
          <w:rFonts w:ascii="Arial Narrow" w:hAnsi="Arial Narrow" w:cs="Arial"/>
          <w:sz w:val="22"/>
          <w:szCs w:val="22"/>
          <w:lang w:val="en-US"/>
        </w:rPr>
        <w:t>Market</w:t>
      </w:r>
      <w:r w:rsidRPr="00093FB0">
        <w:rPr>
          <w:rFonts w:ascii="Arial Narrow" w:hAnsi="Arial Narrow" w:cs="Arial"/>
          <w:sz w:val="22"/>
          <w:szCs w:val="22"/>
          <w:lang w:val="en-US"/>
        </w:rPr>
        <w:t>, which must be issued within fifteen (15) days of its requested, after which it expires.</w:t>
      </w:r>
    </w:p>
    <w:p w:rsidR="00A74B5C" w:rsidRPr="000A58B2" w:rsidRDefault="00A74B5C" w:rsidP="00A74B5C">
      <w:pPr>
        <w:pStyle w:val="NormalWeb"/>
        <w:jc w:val="both"/>
        <w:rPr>
          <w:rFonts w:ascii="Arial Narrow" w:hAnsi="Arial Narrow" w:cs="Arial"/>
          <w:b/>
          <w:bCs/>
          <w:sz w:val="22"/>
          <w:szCs w:val="22"/>
          <w:lang w:val="en-US"/>
        </w:rPr>
      </w:pPr>
      <w:r w:rsidRPr="00093FB0">
        <w:rPr>
          <w:rFonts w:ascii="Arial Narrow" w:hAnsi="Arial Narrow" w:cs="Arial"/>
          <w:b/>
          <w:bCs/>
          <w:sz w:val="22"/>
          <w:szCs w:val="22"/>
          <w:lang w:val="en-US"/>
        </w:rPr>
        <w:t>Article 251-A – Improper use of insider</w:t>
      </w:r>
      <w:r w:rsidRPr="000A58B2">
        <w:rPr>
          <w:rFonts w:ascii="Arial Narrow" w:hAnsi="Arial Narrow" w:cs="Arial"/>
          <w:b/>
          <w:bCs/>
          <w:sz w:val="22"/>
          <w:szCs w:val="22"/>
          <w:lang w:val="en-US"/>
        </w:rPr>
        <w:t xml:space="preserve"> information. </w:t>
      </w:r>
      <w:proofErr w:type="spellStart"/>
      <w:r w:rsidRPr="000A58B2">
        <w:rPr>
          <w:rFonts w:ascii="Arial Narrow" w:hAnsi="Arial Narrow" w:cs="Arial"/>
          <w:b/>
          <w:bCs/>
          <w:sz w:val="22"/>
          <w:szCs w:val="22"/>
          <w:lang w:val="en-US"/>
        </w:rPr>
        <w:t>Agravated</w:t>
      </w:r>
      <w:proofErr w:type="spellEnd"/>
      <w:r w:rsidRPr="000A58B2">
        <w:rPr>
          <w:rFonts w:ascii="Arial Narrow" w:hAnsi="Arial Narrow" w:cs="Arial"/>
          <w:b/>
          <w:bCs/>
          <w:sz w:val="22"/>
          <w:szCs w:val="22"/>
          <w:lang w:val="en-US"/>
        </w:rPr>
        <w:t xml:space="preserve"> forms.</w:t>
      </w:r>
    </w:p>
    <w:p w:rsidR="00A74B5C" w:rsidRPr="00093FB0" w:rsidRDefault="00A74B5C" w:rsidP="00A74B5C">
      <w:pPr>
        <w:pStyle w:val="NormalWeb"/>
        <w:rPr>
          <w:rFonts w:ascii="Arial Narrow" w:hAnsi="Arial Narrow" w:cs="Arial"/>
          <w:sz w:val="22"/>
          <w:szCs w:val="22"/>
          <w:lang w:val="en-US"/>
        </w:rPr>
      </w:pPr>
      <w:r w:rsidRPr="000A58B2">
        <w:rPr>
          <w:rFonts w:ascii="Arial Narrow" w:hAnsi="Arial Narrow" w:cs="Arial"/>
          <w:sz w:val="22"/>
          <w:szCs w:val="22"/>
          <w:lang w:val="en-US"/>
        </w:rPr>
        <w:t xml:space="preserve">He who benefits or avoid economic damage, whether directly or through a third party, via the use of insider information, will face imprisonment of no less than </w:t>
      </w:r>
      <w:r w:rsidRPr="00093FB0">
        <w:rPr>
          <w:rFonts w:ascii="Arial Narrow" w:hAnsi="Arial Narrow" w:cs="Arial"/>
          <w:sz w:val="22"/>
          <w:szCs w:val="22"/>
          <w:lang w:val="en-US"/>
        </w:rPr>
        <w:t>one (1) and no more than five (5) years.</w:t>
      </w:r>
    </w:p>
    <w:p w:rsidR="00A74B5C" w:rsidRPr="000A58B2" w:rsidRDefault="00A74B5C" w:rsidP="00A74B5C">
      <w:pPr>
        <w:pStyle w:val="NormalWeb"/>
        <w:rPr>
          <w:rFonts w:ascii="Arial Narrow" w:hAnsi="Arial Narrow" w:cs="Arial"/>
          <w:sz w:val="22"/>
          <w:szCs w:val="22"/>
          <w:lang w:val="en-US"/>
        </w:rPr>
      </w:pPr>
      <w:r w:rsidRPr="00093FB0">
        <w:rPr>
          <w:rFonts w:ascii="Arial Narrow" w:hAnsi="Arial Narrow" w:cs="Arial"/>
          <w:sz w:val="22"/>
          <w:szCs w:val="22"/>
          <w:lang w:val="en-US"/>
        </w:rPr>
        <w:t xml:space="preserve">If the crime described in the previous paragraph is committed by a director, manager, or employee of the stock market, by an intermediary agent, by </w:t>
      </w:r>
      <w:r w:rsidR="00093FB0" w:rsidRPr="00093FB0">
        <w:rPr>
          <w:rFonts w:ascii="Arial Narrow" w:hAnsi="Arial Narrow" w:cs="Arial"/>
          <w:sz w:val="22"/>
          <w:szCs w:val="22"/>
          <w:lang w:val="en-US"/>
        </w:rPr>
        <w:t>issuers</w:t>
      </w:r>
      <w:r w:rsidR="00093FB0">
        <w:rPr>
          <w:rFonts w:ascii="Arial Narrow" w:hAnsi="Arial Narrow" w:cs="Arial"/>
          <w:sz w:val="22"/>
          <w:szCs w:val="22"/>
          <w:lang w:val="en-US"/>
        </w:rPr>
        <w:t>’</w:t>
      </w:r>
      <w:r w:rsidR="00093FB0" w:rsidRPr="00093FB0">
        <w:rPr>
          <w:rFonts w:ascii="Arial Narrow" w:hAnsi="Arial Narrow" w:cs="Arial"/>
          <w:sz w:val="22"/>
          <w:szCs w:val="22"/>
          <w:lang w:val="en-US"/>
        </w:rPr>
        <w:t xml:space="preserve"> </w:t>
      </w:r>
      <w:r w:rsidRPr="00093FB0">
        <w:rPr>
          <w:rFonts w:ascii="Arial Narrow" w:hAnsi="Arial Narrow" w:cs="Arial"/>
          <w:sz w:val="22"/>
          <w:szCs w:val="22"/>
          <w:lang w:val="en-US"/>
        </w:rPr>
        <w:t>supervising entities, by rating agencies, by managers of mutual securities funds, by managers of investment funds, by managers of retirement funds, as well as banks or securities or financial companies, the</w:t>
      </w:r>
      <w:r w:rsidRPr="000A58B2">
        <w:rPr>
          <w:rFonts w:ascii="Arial Narrow" w:hAnsi="Arial Narrow" w:cs="Arial"/>
          <w:sz w:val="22"/>
          <w:szCs w:val="22"/>
          <w:lang w:val="en-US"/>
        </w:rPr>
        <w:t xml:space="preserve"> penalty will be of no less than five (5) and no more than seven (7) years. </w:t>
      </w:r>
    </w:p>
    <w:p w:rsidR="00A81D0E" w:rsidRPr="000A58B2" w:rsidRDefault="00A74B5C" w:rsidP="00A74B5C">
      <w:pPr>
        <w:pStyle w:val="NormalWeb"/>
        <w:jc w:val="both"/>
        <w:rPr>
          <w:rFonts w:ascii="Arial Narrow" w:hAnsi="Arial Narrow"/>
          <w:sz w:val="22"/>
          <w:szCs w:val="22"/>
          <w:lang w:val="en-US"/>
        </w:rPr>
      </w:pPr>
      <w:r w:rsidRPr="000A58B2">
        <w:rPr>
          <w:rFonts w:ascii="Arial Narrow" w:hAnsi="Arial Narrow" w:cs="Arial"/>
          <w:i/>
          <w:sz w:val="22"/>
          <w:szCs w:val="22"/>
          <w:lang w:val="en-US"/>
        </w:rPr>
        <w:t xml:space="preserve"> “Prior to the formalization of the respective claim, the Prosecutor’s Office must acquire a technical form from the Superintendence of </w:t>
      </w:r>
      <w:r w:rsidRPr="00093FB0">
        <w:rPr>
          <w:rFonts w:ascii="Arial Narrow" w:hAnsi="Arial Narrow" w:cs="Arial"/>
          <w:i/>
          <w:sz w:val="22"/>
          <w:szCs w:val="22"/>
          <w:lang w:val="en-US"/>
        </w:rPr>
        <w:t xml:space="preserve">Securities </w:t>
      </w:r>
      <w:r w:rsidR="00206E4E">
        <w:rPr>
          <w:rFonts w:ascii="Arial Narrow" w:hAnsi="Arial Narrow" w:cs="Arial"/>
          <w:i/>
          <w:sz w:val="22"/>
          <w:szCs w:val="22"/>
          <w:lang w:val="en-US"/>
        </w:rPr>
        <w:t>Market</w:t>
      </w:r>
      <w:r w:rsidRPr="00093FB0">
        <w:rPr>
          <w:rFonts w:ascii="Arial Narrow" w:hAnsi="Arial Narrow" w:cs="Arial"/>
          <w:i/>
          <w:sz w:val="22"/>
          <w:szCs w:val="22"/>
          <w:lang w:val="en-US"/>
        </w:rPr>
        <w:t>, which will be issued within fifteen (15) days of its request, after which it expires</w:t>
      </w:r>
      <w:r w:rsidR="00A81D0E" w:rsidRPr="00093FB0">
        <w:rPr>
          <w:rFonts w:ascii="Arial Narrow" w:hAnsi="Arial Narrow" w:cs="Arial"/>
          <w:sz w:val="22"/>
          <w:szCs w:val="22"/>
          <w:lang w:val="en-US"/>
        </w:rPr>
        <w:t>.”</w:t>
      </w:r>
    </w:p>
    <w:p w:rsidR="00A81D0E" w:rsidRDefault="00A81D0E" w:rsidP="00A81D0E">
      <w:pPr>
        <w:rPr>
          <w:lang w:val="en-US"/>
        </w:rPr>
      </w:pPr>
    </w:p>
    <w:p w:rsidR="00933AE0" w:rsidRDefault="00933AE0" w:rsidP="00A81D0E">
      <w:pPr>
        <w:rPr>
          <w:lang w:val="en-US"/>
        </w:rPr>
      </w:pPr>
    </w:p>
    <w:p w:rsidR="00933AE0" w:rsidRDefault="00933AE0" w:rsidP="00A81D0E">
      <w:pPr>
        <w:rPr>
          <w:lang w:val="en-US"/>
        </w:rPr>
      </w:pPr>
    </w:p>
    <w:p w:rsidR="00933AE0" w:rsidRDefault="00933AE0" w:rsidP="00A81D0E">
      <w:pPr>
        <w:rPr>
          <w:lang w:val="en-US"/>
        </w:rPr>
      </w:pPr>
    </w:p>
    <w:p w:rsidR="00933AE0" w:rsidRDefault="00933AE0" w:rsidP="00A81D0E">
      <w:pPr>
        <w:rPr>
          <w:lang w:val="en-US"/>
        </w:rPr>
      </w:pPr>
    </w:p>
    <w:p w:rsidR="00933AE0" w:rsidRDefault="00933AE0" w:rsidP="00A81D0E">
      <w:pPr>
        <w:rPr>
          <w:lang w:val="en-US"/>
        </w:rPr>
      </w:pPr>
    </w:p>
    <w:p w:rsidR="00933AE0" w:rsidRDefault="00933AE0" w:rsidP="00A81D0E">
      <w:pPr>
        <w:rPr>
          <w:lang w:val="en-US"/>
        </w:rPr>
      </w:pPr>
    </w:p>
    <w:p w:rsidR="00933AE0" w:rsidRDefault="00933AE0" w:rsidP="00A81D0E">
      <w:pPr>
        <w:rPr>
          <w:lang w:val="en-US"/>
        </w:rPr>
      </w:pPr>
    </w:p>
    <w:p w:rsidR="00933AE0" w:rsidRDefault="00933AE0" w:rsidP="00A81D0E">
      <w:pPr>
        <w:rPr>
          <w:lang w:val="en-US"/>
        </w:rPr>
      </w:pPr>
    </w:p>
    <w:p w:rsidR="00933AE0" w:rsidRDefault="00933AE0" w:rsidP="00A81D0E">
      <w:pPr>
        <w:rPr>
          <w:lang w:val="en-US"/>
        </w:rPr>
      </w:pPr>
    </w:p>
    <w:p w:rsidR="00933AE0" w:rsidRDefault="00933AE0" w:rsidP="00A81D0E">
      <w:pPr>
        <w:rPr>
          <w:lang w:val="en-US"/>
        </w:rPr>
      </w:pPr>
    </w:p>
    <w:p w:rsidR="00933AE0" w:rsidRDefault="00933AE0" w:rsidP="00A81D0E">
      <w:pPr>
        <w:rPr>
          <w:lang w:val="en-US"/>
        </w:rPr>
      </w:pPr>
    </w:p>
    <w:p w:rsidR="00933AE0" w:rsidRDefault="00933AE0" w:rsidP="00A81D0E">
      <w:pPr>
        <w:rPr>
          <w:lang w:val="en-US"/>
        </w:rPr>
      </w:pPr>
    </w:p>
    <w:p w:rsidR="00933AE0" w:rsidRDefault="00933AE0" w:rsidP="00A81D0E">
      <w:pPr>
        <w:rPr>
          <w:lang w:val="en-US"/>
        </w:rPr>
      </w:pPr>
    </w:p>
    <w:p w:rsidR="00933AE0" w:rsidRDefault="00933AE0" w:rsidP="00A81D0E">
      <w:pPr>
        <w:rPr>
          <w:lang w:val="en-US"/>
        </w:rPr>
      </w:pPr>
    </w:p>
    <w:p w:rsidR="00933AE0" w:rsidRDefault="00933AE0" w:rsidP="00A81D0E">
      <w:pPr>
        <w:rPr>
          <w:lang w:val="en-US"/>
        </w:rPr>
      </w:pPr>
    </w:p>
    <w:p w:rsidR="00933AE0" w:rsidRDefault="00933AE0" w:rsidP="00A81D0E">
      <w:pPr>
        <w:rPr>
          <w:lang w:val="en-US"/>
        </w:rPr>
      </w:pPr>
    </w:p>
    <w:p w:rsidR="00933AE0" w:rsidRDefault="00933AE0" w:rsidP="00A81D0E">
      <w:pPr>
        <w:rPr>
          <w:lang w:val="en-US"/>
        </w:rPr>
      </w:pPr>
    </w:p>
    <w:sectPr w:rsidR="00933AE0" w:rsidSect="00005789">
      <w:pgSz w:w="11907" w:h="16840" w:code="9"/>
      <w:pgMar w:top="1418" w:right="1701" w:bottom="1418" w:left="1701"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DF4" w:rsidRDefault="007A6DF4" w:rsidP="00CA22D3">
      <w:pPr>
        <w:spacing w:after="0"/>
      </w:pPr>
      <w:r>
        <w:separator/>
      </w:r>
    </w:p>
  </w:endnote>
  <w:endnote w:type="continuationSeparator" w:id="0">
    <w:p w:rsidR="007A6DF4" w:rsidRDefault="007A6DF4" w:rsidP="00CA22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witzerland">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84" w:rsidRPr="00D40584" w:rsidRDefault="00D40584" w:rsidP="00D40584">
    <w:pPr>
      <w:rPr>
        <w:rFonts w:asciiTheme="minorHAnsi" w:hAnsiTheme="minorHAnsi"/>
        <w:sz w:val="18"/>
        <w:szCs w:val="18"/>
        <w:lang w:val="en-GB"/>
      </w:rPr>
    </w:pPr>
    <w:r w:rsidRPr="00D40584">
      <w:rPr>
        <w:rFonts w:asciiTheme="minorHAnsi" w:hAnsiTheme="minorHAnsi"/>
        <w:b/>
        <w:bCs/>
        <w:snapToGrid w:val="0"/>
        <w:sz w:val="18"/>
        <w:szCs w:val="18"/>
        <w:lang w:val="en-GB"/>
      </w:rPr>
      <w:t>Waiver of Responsibility.-</w:t>
    </w:r>
    <w:r w:rsidRPr="00D40584">
      <w:rPr>
        <w:rFonts w:asciiTheme="minorHAnsi" w:hAnsiTheme="minorHAnsi"/>
        <w:snapToGrid w:val="0"/>
        <w:sz w:val="18"/>
        <w:szCs w:val="18"/>
        <w:lang w:val="en-GB"/>
      </w:rPr>
      <w:t>The law and any other regulation translated into English are only referential. The official language for any legal purpose is Spanish as published in the Official Gazette</w:t>
    </w:r>
  </w:p>
  <w:p w:rsidR="009F2104" w:rsidRPr="005047FC" w:rsidRDefault="009F2104" w:rsidP="00C60B9D">
    <w:pPr>
      <w:pStyle w:val="Piedepgina"/>
    </w:pPr>
    <w:r>
      <w:t xml:space="preserve"> </w:t>
    </w:r>
    <w:r>
      <w:tab/>
    </w:r>
    <w:r>
      <w:tab/>
    </w:r>
    <w:fldSimple w:instr=" PAGE   \* MERGEFORMAT ">
      <w:r w:rsidR="00370128">
        <w:rPr>
          <w:noProof/>
        </w:rPr>
        <w:t>13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04" w:rsidRPr="00C60B9D" w:rsidRDefault="009F2104" w:rsidP="00C60B9D">
    <w:pPr>
      <w:pStyle w:val="Piedepgina"/>
    </w:pPr>
    <w:r>
      <w:tab/>
    </w:r>
    <w:r>
      <w:tab/>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DF4" w:rsidRDefault="007A6DF4" w:rsidP="00CA22D3">
      <w:pPr>
        <w:spacing w:after="0"/>
      </w:pPr>
      <w:r>
        <w:separator/>
      </w:r>
    </w:p>
  </w:footnote>
  <w:footnote w:type="continuationSeparator" w:id="0">
    <w:p w:rsidR="007A6DF4" w:rsidRDefault="007A6DF4" w:rsidP="00CA22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FB" w:rsidRDefault="008648DB">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5487" o:spid="_x0000_s25602" type="#_x0000_t75" style="position:absolute;left:0;text-align:left;margin-left:0;margin-top:0;width:425.05pt;height:160.35pt;z-index:-251657216;mso-position-horizontal:center;mso-position-horizontal-relative:margin;mso-position-vertical:center;mso-position-vertical-relative:margin" o:allowincell="f">
          <v:imagedata r:id="rId1" o:title="logo_conasev"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FB" w:rsidRDefault="008648DB">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5488" o:spid="_x0000_s25603" type="#_x0000_t75" style="position:absolute;left:0;text-align:left;margin-left:0;margin-top:0;width:425.05pt;height:160.35pt;z-index:-251656192;mso-position-horizontal:center;mso-position-horizontal-relative:margin;mso-position-vertical:center;mso-position-vertical-relative:margin" o:allowincell="f">
          <v:imagedata r:id="rId1" o:title="logo_conasev"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FB" w:rsidRDefault="008648DB">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5486" o:spid="_x0000_s25601" type="#_x0000_t75" style="position:absolute;left:0;text-align:left;margin-left:0;margin-top:0;width:425.05pt;height:160.35pt;z-index:-251658240;mso-position-horizontal:center;mso-position-horizontal-relative:margin;mso-position-vertical:center;mso-position-vertical-relative:margin" o:allowincell="f">
          <v:imagedata r:id="rId1" o:title="logo_conasev"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70F5"/>
    <w:multiLevelType w:val="hybridMultilevel"/>
    <w:tmpl w:val="C3A088F8"/>
    <w:lvl w:ilvl="0" w:tplc="813A20B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30359"/>
    <w:multiLevelType w:val="hybridMultilevel"/>
    <w:tmpl w:val="A366FF2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5400DDD"/>
    <w:multiLevelType w:val="hybridMultilevel"/>
    <w:tmpl w:val="2F4610D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595457E"/>
    <w:multiLevelType w:val="hybridMultilevel"/>
    <w:tmpl w:val="82DE07E4"/>
    <w:lvl w:ilvl="0" w:tplc="A83C71FA">
      <w:start w:val="1"/>
      <w:numFmt w:val="decimal"/>
      <w:lvlText w:val="%1."/>
      <w:lvlJc w:val="left"/>
      <w:pPr>
        <w:tabs>
          <w:tab w:val="num" w:pos="720"/>
        </w:tabs>
        <w:ind w:left="720" w:hanging="360"/>
      </w:pPr>
      <w:rPr>
        <w:rFonts w:hint="default"/>
      </w:rPr>
    </w:lvl>
    <w:lvl w:ilvl="1" w:tplc="BCBE5AC2">
      <w:start w:val="1"/>
      <w:numFmt w:val="lowerLetter"/>
      <w:lvlText w:val="%2)"/>
      <w:lvlJc w:val="left"/>
      <w:pPr>
        <w:tabs>
          <w:tab w:val="num" w:pos="1440"/>
        </w:tabs>
        <w:ind w:left="1440" w:hanging="360"/>
      </w:pPr>
      <w:rPr>
        <w:rFonts w:hint="default"/>
      </w:rPr>
    </w:lvl>
    <w:lvl w:ilvl="2" w:tplc="C75E0E86">
      <w:start w:val="1"/>
      <w:numFmt w:val="lowerLetter"/>
      <w:lvlText w:val="%3."/>
      <w:lvlJc w:val="left"/>
      <w:pPr>
        <w:tabs>
          <w:tab w:val="num" w:pos="2340"/>
        </w:tabs>
        <w:ind w:left="2340" w:hanging="360"/>
      </w:pPr>
      <w:rPr>
        <w:rFonts w:hint="default"/>
      </w:rPr>
    </w:lvl>
    <w:lvl w:ilvl="3" w:tplc="1024AEC4">
      <w:start w:val="1"/>
      <w:numFmt w:val="upperLetter"/>
      <w:pStyle w:val="Ttulo3"/>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EC0BF5"/>
    <w:multiLevelType w:val="hybridMultilevel"/>
    <w:tmpl w:val="2FE4A868"/>
    <w:lvl w:ilvl="0" w:tplc="31B8C982">
      <w:start w:val="1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0254F"/>
    <w:multiLevelType w:val="hybridMultilevel"/>
    <w:tmpl w:val="D100953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743214B"/>
    <w:multiLevelType w:val="hybridMultilevel"/>
    <w:tmpl w:val="8D8CC88A"/>
    <w:lvl w:ilvl="0" w:tplc="45D0BC3A">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B6FF2"/>
    <w:multiLevelType w:val="hybridMultilevel"/>
    <w:tmpl w:val="5CF0E06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E01313C"/>
    <w:multiLevelType w:val="hybridMultilevel"/>
    <w:tmpl w:val="F6C69AE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E21094F"/>
    <w:multiLevelType w:val="hybridMultilevel"/>
    <w:tmpl w:val="CEE0F56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28B1399E"/>
    <w:multiLevelType w:val="hybridMultilevel"/>
    <w:tmpl w:val="10CC9D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014A7F"/>
    <w:multiLevelType w:val="hybridMultilevel"/>
    <w:tmpl w:val="46E8BBFC"/>
    <w:lvl w:ilvl="0" w:tplc="A30469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C93525"/>
    <w:multiLevelType w:val="hybridMultilevel"/>
    <w:tmpl w:val="9AA2C6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34F90404"/>
    <w:multiLevelType w:val="hybridMultilevel"/>
    <w:tmpl w:val="7592C2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3CCA514D"/>
    <w:multiLevelType w:val="hybridMultilevel"/>
    <w:tmpl w:val="1804D3C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424931AC"/>
    <w:multiLevelType w:val="hybridMultilevel"/>
    <w:tmpl w:val="8C727A36"/>
    <w:lvl w:ilvl="0" w:tplc="C83AE2E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443C7356"/>
    <w:multiLevelType w:val="hybridMultilevel"/>
    <w:tmpl w:val="1C9C0A5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493C4817"/>
    <w:multiLevelType w:val="hybridMultilevel"/>
    <w:tmpl w:val="26B8C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5A03A7"/>
    <w:multiLevelType w:val="hybridMultilevel"/>
    <w:tmpl w:val="79A4EE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4BDA1CD4"/>
    <w:multiLevelType w:val="hybridMultilevel"/>
    <w:tmpl w:val="C95088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4DF15C4E"/>
    <w:multiLevelType w:val="hybridMultilevel"/>
    <w:tmpl w:val="A5CAB5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538607A5"/>
    <w:multiLevelType w:val="hybridMultilevel"/>
    <w:tmpl w:val="003A28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57C31731"/>
    <w:multiLevelType w:val="hybridMultilevel"/>
    <w:tmpl w:val="85BE30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AC6ED3"/>
    <w:multiLevelType w:val="hybridMultilevel"/>
    <w:tmpl w:val="AF7CD22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680675D1"/>
    <w:multiLevelType w:val="hybridMultilevel"/>
    <w:tmpl w:val="E4BCA6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6FE87277"/>
    <w:multiLevelType w:val="hybridMultilevel"/>
    <w:tmpl w:val="D6EA88C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70F700CB"/>
    <w:multiLevelType w:val="hybridMultilevel"/>
    <w:tmpl w:val="51409C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724B83"/>
    <w:multiLevelType w:val="hybridMultilevel"/>
    <w:tmpl w:val="BBE861D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15"/>
  </w:num>
  <w:num w:numId="3">
    <w:abstractNumId w:val="0"/>
  </w:num>
  <w:num w:numId="4">
    <w:abstractNumId w:val="10"/>
  </w:num>
  <w:num w:numId="5">
    <w:abstractNumId w:val="6"/>
  </w:num>
  <w:num w:numId="6">
    <w:abstractNumId w:val="17"/>
  </w:num>
  <w:num w:numId="7">
    <w:abstractNumId w:val="11"/>
  </w:num>
  <w:num w:numId="8">
    <w:abstractNumId w:val="4"/>
  </w:num>
  <w:num w:numId="9">
    <w:abstractNumId w:val="9"/>
  </w:num>
  <w:num w:numId="10">
    <w:abstractNumId w:val="20"/>
  </w:num>
  <w:num w:numId="11">
    <w:abstractNumId w:val="7"/>
  </w:num>
  <w:num w:numId="12">
    <w:abstractNumId w:val="21"/>
  </w:num>
  <w:num w:numId="13">
    <w:abstractNumId w:val="16"/>
  </w:num>
  <w:num w:numId="14">
    <w:abstractNumId w:val="23"/>
  </w:num>
  <w:num w:numId="15">
    <w:abstractNumId w:val="25"/>
  </w:num>
  <w:num w:numId="16">
    <w:abstractNumId w:val="14"/>
  </w:num>
  <w:num w:numId="17">
    <w:abstractNumId w:val="13"/>
  </w:num>
  <w:num w:numId="18">
    <w:abstractNumId w:val="8"/>
  </w:num>
  <w:num w:numId="19">
    <w:abstractNumId w:val="18"/>
  </w:num>
  <w:num w:numId="20">
    <w:abstractNumId w:val="19"/>
  </w:num>
  <w:num w:numId="21">
    <w:abstractNumId w:val="27"/>
  </w:num>
  <w:num w:numId="22">
    <w:abstractNumId w:val="24"/>
  </w:num>
  <w:num w:numId="23">
    <w:abstractNumId w:val="1"/>
  </w:num>
  <w:num w:numId="24">
    <w:abstractNumId w:val="26"/>
  </w:num>
  <w:num w:numId="25">
    <w:abstractNumId w:val="22"/>
  </w:num>
  <w:num w:numId="26">
    <w:abstractNumId w:val="5"/>
  </w:num>
  <w:num w:numId="27">
    <w:abstractNumId w:val="12"/>
  </w:num>
  <w:num w:numId="28">
    <w:abstractNumId w:val="2"/>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dney Evans">
    <w15:presenceInfo w15:providerId="Windows Live" w15:userId="fd86b9b7cb5b9cf3"/>
  </w15:person>
  <w15:person w15:author="Naoe Nakamatsu Nakamatsu">
    <w15:presenceInfo w15:providerId="Windows Live" w15:userId="c02dfd33db6b04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5604"/>
    <o:shapelayout v:ext="edit">
      <o:idmap v:ext="edit" data="25"/>
    </o:shapelayout>
  </w:hdrShapeDefaults>
  <w:footnotePr>
    <w:footnote w:id="-1"/>
    <w:footnote w:id="0"/>
  </w:footnotePr>
  <w:endnotePr>
    <w:endnote w:id="-1"/>
    <w:endnote w:id="0"/>
  </w:endnotePr>
  <w:compat/>
  <w:rsids>
    <w:rsidRoot w:val="00225704"/>
    <w:rsid w:val="00005789"/>
    <w:rsid w:val="00007E44"/>
    <w:rsid w:val="000274A4"/>
    <w:rsid w:val="00032E5D"/>
    <w:rsid w:val="00035D8A"/>
    <w:rsid w:val="000510A1"/>
    <w:rsid w:val="000557E0"/>
    <w:rsid w:val="00057331"/>
    <w:rsid w:val="00061388"/>
    <w:rsid w:val="00062597"/>
    <w:rsid w:val="00063CA7"/>
    <w:rsid w:val="000641CA"/>
    <w:rsid w:val="00066DA9"/>
    <w:rsid w:val="00073693"/>
    <w:rsid w:val="00074E11"/>
    <w:rsid w:val="00076F50"/>
    <w:rsid w:val="00085767"/>
    <w:rsid w:val="00085B3C"/>
    <w:rsid w:val="00093FB0"/>
    <w:rsid w:val="000A104A"/>
    <w:rsid w:val="000A58B2"/>
    <w:rsid w:val="000B0C28"/>
    <w:rsid w:val="000C387F"/>
    <w:rsid w:val="000C5DC9"/>
    <w:rsid w:val="000C64A6"/>
    <w:rsid w:val="000C71D1"/>
    <w:rsid w:val="000D1333"/>
    <w:rsid w:val="000D354C"/>
    <w:rsid w:val="000D6126"/>
    <w:rsid w:val="000E1D72"/>
    <w:rsid w:val="000E33A7"/>
    <w:rsid w:val="000E4FE2"/>
    <w:rsid w:val="000E6159"/>
    <w:rsid w:val="000F17E7"/>
    <w:rsid w:val="000F363E"/>
    <w:rsid w:val="000F7766"/>
    <w:rsid w:val="00100645"/>
    <w:rsid w:val="00110F3C"/>
    <w:rsid w:val="00111C80"/>
    <w:rsid w:val="00113108"/>
    <w:rsid w:val="00113E4D"/>
    <w:rsid w:val="00114E48"/>
    <w:rsid w:val="00115EB3"/>
    <w:rsid w:val="00120DCF"/>
    <w:rsid w:val="00120E5F"/>
    <w:rsid w:val="00121B93"/>
    <w:rsid w:val="00126C5C"/>
    <w:rsid w:val="00127ECF"/>
    <w:rsid w:val="00134D98"/>
    <w:rsid w:val="00137628"/>
    <w:rsid w:val="00141470"/>
    <w:rsid w:val="00143DF6"/>
    <w:rsid w:val="0014795A"/>
    <w:rsid w:val="00155DFE"/>
    <w:rsid w:val="00162046"/>
    <w:rsid w:val="001666AC"/>
    <w:rsid w:val="0016698F"/>
    <w:rsid w:val="00170249"/>
    <w:rsid w:val="00177246"/>
    <w:rsid w:val="00186937"/>
    <w:rsid w:val="00190132"/>
    <w:rsid w:val="001927F0"/>
    <w:rsid w:val="001944E1"/>
    <w:rsid w:val="00194979"/>
    <w:rsid w:val="00194AD0"/>
    <w:rsid w:val="001A01D5"/>
    <w:rsid w:val="001A2F67"/>
    <w:rsid w:val="001A5223"/>
    <w:rsid w:val="001A5A57"/>
    <w:rsid w:val="001B10A9"/>
    <w:rsid w:val="001B3785"/>
    <w:rsid w:val="001B3E1D"/>
    <w:rsid w:val="001C1813"/>
    <w:rsid w:val="001C69D2"/>
    <w:rsid w:val="001D1861"/>
    <w:rsid w:val="001D3CA3"/>
    <w:rsid w:val="001D57D6"/>
    <w:rsid w:val="001E155D"/>
    <w:rsid w:val="001E5A20"/>
    <w:rsid w:val="001E5A86"/>
    <w:rsid w:val="001E6CA3"/>
    <w:rsid w:val="001E6EA3"/>
    <w:rsid w:val="001F6AAF"/>
    <w:rsid w:val="001F74EF"/>
    <w:rsid w:val="00202DFC"/>
    <w:rsid w:val="00204ECD"/>
    <w:rsid w:val="00206E4E"/>
    <w:rsid w:val="00213803"/>
    <w:rsid w:val="002169C8"/>
    <w:rsid w:val="0022183B"/>
    <w:rsid w:val="00223969"/>
    <w:rsid w:val="00225704"/>
    <w:rsid w:val="00232EF6"/>
    <w:rsid w:val="00233B5D"/>
    <w:rsid w:val="00235275"/>
    <w:rsid w:val="00237DC5"/>
    <w:rsid w:val="0024251C"/>
    <w:rsid w:val="00244FD8"/>
    <w:rsid w:val="002503EA"/>
    <w:rsid w:val="00251DCD"/>
    <w:rsid w:val="00253BD3"/>
    <w:rsid w:val="00255D95"/>
    <w:rsid w:val="00257196"/>
    <w:rsid w:val="002630F7"/>
    <w:rsid w:val="002642C5"/>
    <w:rsid w:val="002702F2"/>
    <w:rsid w:val="00270F33"/>
    <w:rsid w:val="00272FDB"/>
    <w:rsid w:val="002731A2"/>
    <w:rsid w:val="002753B0"/>
    <w:rsid w:val="00284140"/>
    <w:rsid w:val="00294FDE"/>
    <w:rsid w:val="00297BB5"/>
    <w:rsid w:val="002A4606"/>
    <w:rsid w:val="002B2E8F"/>
    <w:rsid w:val="002C21A1"/>
    <w:rsid w:val="002D1CA8"/>
    <w:rsid w:val="002D27C7"/>
    <w:rsid w:val="002E0F92"/>
    <w:rsid w:val="002E3449"/>
    <w:rsid w:val="002E6ED5"/>
    <w:rsid w:val="002E7A3A"/>
    <w:rsid w:val="002E7D15"/>
    <w:rsid w:val="002F1E77"/>
    <w:rsid w:val="002F207E"/>
    <w:rsid w:val="002F26FB"/>
    <w:rsid w:val="002F70A6"/>
    <w:rsid w:val="003061DC"/>
    <w:rsid w:val="00307F0A"/>
    <w:rsid w:val="00310870"/>
    <w:rsid w:val="00324AEC"/>
    <w:rsid w:val="00330447"/>
    <w:rsid w:val="00331872"/>
    <w:rsid w:val="00332145"/>
    <w:rsid w:val="00335B64"/>
    <w:rsid w:val="00336754"/>
    <w:rsid w:val="00341CD8"/>
    <w:rsid w:val="003461EE"/>
    <w:rsid w:val="003472E1"/>
    <w:rsid w:val="0035115F"/>
    <w:rsid w:val="0035227A"/>
    <w:rsid w:val="00362A2E"/>
    <w:rsid w:val="0036364A"/>
    <w:rsid w:val="00366717"/>
    <w:rsid w:val="00370128"/>
    <w:rsid w:val="00374673"/>
    <w:rsid w:val="00376425"/>
    <w:rsid w:val="00377273"/>
    <w:rsid w:val="0038241A"/>
    <w:rsid w:val="003825B3"/>
    <w:rsid w:val="003832FD"/>
    <w:rsid w:val="00385B9A"/>
    <w:rsid w:val="00397CB3"/>
    <w:rsid w:val="003A18EF"/>
    <w:rsid w:val="003A2768"/>
    <w:rsid w:val="003A45D7"/>
    <w:rsid w:val="003A5124"/>
    <w:rsid w:val="003B3F3B"/>
    <w:rsid w:val="003B539F"/>
    <w:rsid w:val="003B7F1A"/>
    <w:rsid w:val="003C17DB"/>
    <w:rsid w:val="003C2519"/>
    <w:rsid w:val="003C44ED"/>
    <w:rsid w:val="003C5004"/>
    <w:rsid w:val="003C5748"/>
    <w:rsid w:val="003C5CF6"/>
    <w:rsid w:val="003D03F3"/>
    <w:rsid w:val="003D2209"/>
    <w:rsid w:val="003D3A1D"/>
    <w:rsid w:val="003D6269"/>
    <w:rsid w:val="003E6822"/>
    <w:rsid w:val="003E799C"/>
    <w:rsid w:val="003F09A0"/>
    <w:rsid w:val="003F549A"/>
    <w:rsid w:val="00400F26"/>
    <w:rsid w:val="004032C4"/>
    <w:rsid w:val="00403A0F"/>
    <w:rsid w:val="00404006"/>
    <w:rsid w:val="004100C1"/>
    <w:rsid w:val="00411159"/>
    <w:rsid w:val="00414CB0"/>
    <w:rsid w:val="00414CF7"/>
    <w:rsid w:val="00416020"/>
    <w:rsid w:val="00422705"/>
    <w:rsid w:val="00422A73"/>
    <w:rsid w:val="00422BC9"/>
    <w:rsid w:val="004279B0"/>
    <w:rsid w:val="00427DA7"/>
    <w:rsid w:val="004340A8"/>
    <w:rsid w:val="00440714"/>
    <w:rsid w:val="00442D46"/>
    <w:rsid w:val="00445196"/>
    <w:rsid w:val="0044615F"/>
    <w:rsid w:val="00446939"/>
    <w:rsid w:val="00455204"/>
    <w:rsid w:val="0045611B"/>
    <w:rsid w:val="00460F3D"/>
    <w:rsid w:val="00467778"/>
    <w:rsid w:val="004757E2"/>
    <w:rsid w:val="004765B1"/>
    <w:rsid w:val="00482AEE"/>
    <w:rsid w:val="004861DF"/>
    <w:rsid w:val="00495E2D"/>
    <w:rsid w:val="004A6913"/>
    <w:rsid w:val="004C07DE"/>
    <w:rsid w:val="004C12A6"/>
    <w:rsid w:val="004D2486"/>
    <w:rsid w:val="004D3E8E"/>
    <w:rsid w:val="004D6C25"/>
    <w:rsid w:val="004E17D7"/>
    <w:rsid w:val="004E2942"/>
    <w:rsid w:val="004E5950"/>
    <w:rsid w:val="004E679E"/>
    <w:rsid w:val="004F2E6E"/>
    <w:rsid w:val="005047FC"/>
    <w:rsid w:val="00507823"/>
    <w:rsid w:val="00510283"/>
    <w:rsid w:val="00512F84"/>
    <w:rsid w:val="00515E76"/>
    <w:rsid w:val="00531150"/>
    <w:rsid w:val="00534DF2"/>
    <w:rsid w:val="00537703"/>
    <w:rsid w:val="00540AC7"/>
    <w:rsid w:val="00545534"/>
    <w:rsid w:val="005474AD"/>
    <w:rsid w:val="0054782E"/>
    <w:rsid w:val="00551600"/>
    <w:rsid w:val="005530DD"/>
    <w:rsid w:val="0055397D"/>
    <w:rsid w:val="00555613"/>
    <w:rsid w:val="00561BFF"/>
    <w:rsid w:val="00565E91"/>
    <w:rsid w:val="00575F8D"/>
    <w:rsid w:val="0057750D"/>
    <w:rsid w:val="00577AD2"/>
    <w:rsid w:val="00580C80"/>
    <w:rsid w:val="005822E3"/>
    <w:rsid w:val="00584123"/>
    <w:rsid w:val="0058641D"/>
    <w:rsid w:val="00587636"/>
    <w:rsid w:val="00590AD9"/>
    <w:rsid w:val="00594B13"/>
    <w:rsid w:val="00596737"/>
    <w:rsid w:val="00597809"/>
    <w:rsid w:val="005A018F"/>
    <w:rsid w:val="005B14FC"/>
    <w:rsid w:val="005B3E96"/>
    <w:rsid w:val="005C0A33"/>
    <w:rsid w:val="005C2713"/>
    <w:rsid w:val="005E2944"/>
    <w:rsid w:val="005E2C7E"/>
    <w:rsid w:val="005E33F2"/>
    <w:rsid w:val="005E4C54"/>
    <w:rsid w:val="005E66EF"/>
    <w:rsid w:val="005E7B5E"/>
    <w:rsid w:val="005F2882"/>
    <w:rsid w:val="005F38C9"/>
    <w:rsid w:val="005F6C1D"/>
    <w:rsid w:val="006000FF"/>
    <w:rsid w:val="0060253B"/>
    <w:rsid w:val="006038CF"/>
    <w:rsid w:val="006064F9"/>
    <w:rsid w:val="006201CC"/>
    <w:rsid w:val="00620A19"/>
    <w:rsid w:val="00623926"/>
    <w:rsid w:val="00624C63"/>
    <w:rsid w:val="00626CEB"/>
    <w:rsid w:val="0063315B"/>
    <w:rsid w:val="006332C1"/>
    <w:rsid w:val="006350B1"/>
    <w:rsid w:val="00646F57"/>
    <w:rsid w:val="00647AA1"/>
    <w:rsid w:val="0065041C"/>
    <w:rsid w:val="00656A1A"/>
    <w:rsid w:val="00664F36"/>
    <w:rsid w:val="00665531"/>
    <w:rsid w:val="006678D8"/>
    <w:rsid w:val="0068584F"/>
    <w:rsid w:val="006940C4"/>
    <w:rsid w:val="00694F5B"/>
    <w:rsid w:val="00695293"/>
    <w:rsid w:val="0069778D"/>
    <w:rsid w:val="006A2DB5"/>
    <w:rsid w:val="006A3688"/>
    <w:rsid w:val="006A3FEE"/>
    <w:rsid w:val="006A4D84"/>
    <w:rsid w:val="006B55FC"/>
    <w:rsid w:val="006D11F4"/>
    <w:rsid w:val="006D1AF4"/>
    <w:rsid w:val="006D3560"/>
    <w:rsid w:val="006D3A4C"/>
    <w:rsid w:val="006D4624"/>
    <w:rsid w:val="006E2FF7"/>
    <w:rsid w:val="006E55CC"/>
    <w:rsid w:val="006E71DF"/>
    <w:rsid w:val="006F6530"/>
    <w:rsid w:val="007038B5"/>
    <w:rsid w:val="007056BC"/>
    <w:rsid w:val="00711FC7"/>
    <w:rsid w:val="0071307D"/>
    <w:rsid w:val="007168F4"/>
    <w:rsid w:val="0071780E"/>
    <w:rsid w:val="00723426"/>
    <w:rsid w:val="00723C83"/>
    <w:rsid w:val="00725C95"/>
    <w:rsid w:val="00731B52"/>
    <w:rsid w:val="0073375E"/>
    <w:rsid w:val="00736F95"/>
    <w:rsid w:val="00740583"/>
    <w:rsid w:val="00743372"/>
    <w:rsid w:val="0074602F"/>
    <w:rsid w:val="00746771"/>
    <w:rsid w:val="0075106D"/>
    <w:rsid w:val="0076195B"/>
    <w:rsid w:val="007664F5"/>
    <w:rsid w:val="00770A4C"/>
    <w:rsid w:val="00785286"/>
    <w:rsid w:val="00785B99"/>
    <w:rsid w:val="007911AB"/>
    <w:rsid w:val="00793EEE"/>
    <w:rsid w:val="007A2222"/>
    <w:rsid w:val="007A6AF7"/>
    <w:rsid w:val="007A6DF4"/>
    <w:rsid w:val="007B1F01"/>
    <w:rsid w:val="007C0AD3"/>
    <w:rsid w:val="007C121E"/>
    <w:rsid w:val="007C2447"/>
    <w:rsid w:val="007C42A9"/>
    <w:rsid w:val="007C7B36"/>
    <w:rsid w:val="007D1DD0"/>
    <w:rsid w:val="007D2D1A"/>
    <w:rsid w:val="007D6864"/>
    <w:rsid w:val="007E3722"/>
    <w:rsid w:val="007E69C0"/>
    <w:rsid w:val="007E7EEF"/>
    <w:rsid w:val="007F19F1"/>
    <w:rsid w:val="00803DAD"/>
    <w:rsid w:val="008100D2"/>
    <w:rsid w:val="00813A71"/>
    <w:rsid w:val="00814683"/>
    <w:rsid w:val="008224C8"/>
    <w:rsid w:val="00826491"/>
    <w:rsid w:val="00827139"/>
    <w:rsid w:val="00835904"/>
    <w:rsid w:val="00835B3E"/>
    <w:rsid w:val="008416CD"/>
    <w:rsid w:val="00847842"/>
    <w:rsid w:val="00851625"/>
    <w:rsid w:val="00853985"/>
    <w:rsid w:val="00853BCE"/>
    <w:rsid w:val="00861EF5"/>
    <w:rsid w:val="008625ED"/>
    <w:rsid w:val="00863900"/>
    <w:rsid w:val="00863B7A"/>
    <w:rsid w:val="008648DB"/>
    <w:rsid w:val="00864F80"/>
    <w:rsid w:val="008653D9"/>
    <w:rsid w:val="008663DC"/>
    <w:rsid w:val="00872B82"/>
    <w:rsid w:val="008807C9"/>
    <w:rsid w:val="008915B3"/>
    <w:rsid w:val="00895CC4"/>
    <w:rsid w:val="008A2384"/>
    <w:rsid w:val="008B0846"/>
    <w:rsid w:val="008B250B"/>
    <w:rsid w:val="008B43A0"/>
    <w:rsid w:val="008B497D"/>
    <w:rsid w:val="008C02B3"/>
    <w:rsid w:val="008C0641"/>
    <w:rsid w:val="008C50BB"/>
    <w:rsid w:val="008E0714"/>
    <w:rsid w:val="008E08D2"/>
    <w:rsid w:val="008E7FE8"/>
    <w:rsid w:val="008F2E98"/>
    <w:rsid w:val="008F3A5A"/>
    <w:rsid w:val="008F41D4"/>
    <w:rsid w:val="0090227E"/>
    <w:rsid w:val="00903D7F"/>
    <w:rsid w:val="009052D2"/>
    <w:rsid w:val="00913F17"/>
    <w:rsid w:val="00920801"/>
    <w:rsid w:val="009268B2"/>
    <w:rsid w:val="009300D9"/>
    <w:rsid w:val="00933AE0"/>
    <w:rsid w:val="00934E96"/>
    <w:rsid w:val="00943DE4"/>
    <w:rsid w:val="00966F5E"/>
    <w:rsid w:val="009700B1"/>
    <w:rsid w:val="0097081B"/>
    <w:rsid w:val="009730E8"/>
    <w:rsid w:val="00973B51"/>
    <w:rsid w:val="00975139"/>
    <w:rsid w:val="00981D1A"/>
    <w:rsid w:val="00990609"/>
    <w:rsid w:val="009943F4"/>
    <w:rsid w:val="009A5C0D"/>
    <w:rsid w:val="009A6E30"/>
    <w:rsid w:val="009B235D"/>
    <w:rsid w:val="009B3E19"/>
    <w:rsid w:val="009B5AE5"/>
    <w:rsid w:val="009C1284"/>
    <w:rsid w:val="009C7158"/>
    <w:rsid w:val="009D1E25"/>
    <w:rsid w:val="009D2503"/>
    <w:rsid w:val="009D3302"/>
    <w:rsid w:val="009D5211"/>
    <w:rsid w:val="009E625B"/>
    <w:rsid w:val="009F1898"/>
    <w:rsid w:val="009F1CD6"/>
    <w:rsid w:val="009F2104"/>
    <w:rsid w:val="009F4BA7"/>
    <w:rsid w:val="00A02880"/>
    <w:rsid w:val="00A047F3"/>
    <w:rsid w:val="00A06D54"/>
    <w:rsid w:val="00A07FBC"/>
    <w:rsid w:val="00A158D1"/>
    <w:rsid w:val="00A16893"/>
    <w:rsid w:val="00A202D2"/>
    <w:rsid w:val="00A212DB"/>
    <w:rsid w:val="00A263CC"/>
    <w:rsid w:val="00A33373"/>
    <w:rsid w:val="00A34735"/>
    <w:rsid w:val="00A35202"/>
    <w:rsid w:val="00A35E3A"/>
    <w:rsid w:val="00A36063"/>
    <w:rsid w:val="00A378AD"/>
    <w:rsid w:val="00A40F46"/>
    <w:rsid w:val="00A53956"/>
    <w:rsid w:val="00A548AE"/>
    <w:rsid w:val="00A57DB5"/>
    <w:rsid w:val="00A65D2D"/>
    <w:rsid w:val="00A66DA3"/>
    <w:rsid w:val="00A74B5C"/>
    <w:rsid w:val="00A80A88"/>
    <w:rsid w:val="00A80C04"/>
    <w:rsid w:val="00A81D0E"/>
    <w:rsid w:val="00A82A08"/>
    <w:rsid w:val="00A90360"/>
    <w:rsid w:val="00A93825"/>
    <w:rsid w:val="00AA24FB"/>
    <w:rsid w:val="00AA6C9D"/>
    <w:rsid w:val="00AB2835"/>
    <w:rsid w:val="00AB39C1"/>
    <w:rsid w:val="00AB4245"/>
    <w:rsid w:val="00AD1D5A"/>
    <w:rsid w:val="00AD4815"/>
    <w:rsid w:val="00AD59C5"/>
    <w:rsid w:val="00AE20C9"/>
    <w:rsid w:val="00AE7992"/>
    <w:rsid w:val="00AF12A4"/>
    <w:rsid w:val="00AF3F68"/>
    <w:rsid w:val="00AF5324"/>
    <w:rsid w:val="00AF65C5"/>
    <w:rsid w:val="00AF7C41"/>
    <w:rsid w:val="00B02058"/>
    <w:rsid w:val="00B04C10"/>
    <w:rsid w:val="00B06D99"/>
    <w:rsid w:val="00B14E85"/>
    <w:rsid w:val="00B15CFB"/>
    <w:rsid w:val="00B16054"/>
    <w:rsid w:val="00B249E4"/>
    <w:rsid w:val="00B31A5E"/>
    <w:rsid w:val="00B326BD"/>
    <w:rsid w:val="00B32D9D"/>
    <w:rsid w:val="00B33327"/>
    <w:rsid w:val="00B34DAB"/>
    <w:rsid w:val="00B43FE4"/>
    <w:rsid w:val="00B46FBE"/>
    <w:rsid w:val="00B522AF"/>
    <w:rsid w:val="00B5327D"/>
    <w:rsid w:val="00B56D1A"/>
    <w:rsid w:val="00B61F33"/>
    <w:rsid w:val="00B62EBE"/>
    <w:rsid w:val="00B66A68"/>
    <w:rsid w:val="00B67765"/>
    <w:rsid w:val="00B75D64"/>
    <w:rsid w:val="00B76A4D"/>
    <w:rsid w:val="00B76ED7"/>
    <w:rsid w:val="00B93214"/>
    <w:rsid w:val="00B94862"/>
    <w:rsid w:val="00B962A7"/>
    <w:rsid w:val="00BB2048"/>
    <w:rsid w:val="00BB26CC"/>
    <w:rsid w:val="00BB6DD0"/>
    <w:rsid w:val="00BC065F"/>
    <w:rsid w:val="00BC0B1C"/>
    <w:rsid w:val="00BC16CE"/>
    <w:rsid w:val="00BD1601"/>
    <w:rsid w:val="00BD4E2D"/>
    <w:rsid w:val="00BD5456"/>
    <w:rsid w:val="00BD65C7"/>
    <w:rsid w:val="00BE2C4C"/>
    <w:rsid w:val="00BE6264"/>
    <w:rsid w:val="00BF4A6A"/>
    <w:rsid w:val="00C04B81"/>
    <w:rsid w:val="00C05C32"/>
    <w:rsid w:val="00C06747"/>
    <w:rsid w:val="00C0772C"/>
    <w:rsid w:val="00C07A6E"/>
    <w:rsid w:val="00C11D8B"/>
    <w:rsid w:val="00C127EA"/>
    <w:rsid w:val="00C13B38"/>
    <w:rsid w:val="00C30951"/>
    <w:rsid w:val="00C363AC"/>
    <w:rsid w:val="00C373B5"/>
    <w:rsid w:val="00C427C9"/>
    <w:rsid w:val="00C464B8"/>
    <w:rsid w:val="00C509CE"/>
    <w:rsid w:val="00C50BE9"/>
    <w:rsid w:val="00C60B9D"/>
    <w:rsid w:val="00C63A94"/>
    <w:rsid w:val="00C66A64"/>
    <w:rsid w:val="00C83C8D"/>
    <w:rsid w:val="00C84271"/>
    <w:rsid w:val="00C87EF7"/>
    <w:rsid w:val="00C94AE4"/>
    <w:rsid w:val="00C94CFA"/>
    <w:rsid w:val="00C95149"/>
    <w:rsid w:val="00C9615F"/>
    <w:rsid w:val="00CA198A"/>
    <w:rsid w:val="00CA22D3"/>
    <w:rsid w:val="00CB5346"/>
    <w:rsid w:val="00CC1084"/>
    <w:rsid w:val="00CC1FC5"/>
    <w:rsid w:val="00CD02B0"/>
    <w:rsid w:val="00CD0FE8"/>
    <w:rsid w:val="00CD4F29"/>
    <w:rsid w:val="00CD74AD"/>
    <w:rsid w:val="00CE1CD9"/>
    <w:rsid w:val="00CF34AB"/>
    <w:rsid w:val="00D034BB"/>
    <w:rsid w:val="00D0403D"/>
    <w:rsid w:val="00D10C2B"/>
    <w:rsid w:val="00D10D83"/>
    <w:rsid w:val="00D14BA3"/>
    <w:rsid w:val="00D27E32"/>
    <w:rsid w:val="00D35AF3"/>
    <w:rsid w:val="00D40584"/>
    <w:rsid w:val="00D40B10"/>
    <w:rsid w:val="00D54050"/>
    <w:rsid w:val="00D57EC5"/>
    <w:rsid w:val="00D61E0E"/>
    <w:rsid w:val="00D63856"/>
    <w:rsid w:val="00D71E5E"/>
    <w:rsid w:val="00D72E6B"/>
    <w:rsid w:val="00D73AD6"/>
    <w:rsid w:val="00D75C67"/>
    <w:rsid w:val="00D807F6"/>
    <w:rsid w:val="00D813FB"/>
    <w:rsid w:val="00D827BB"/>
    <w:rsid w:val="00D82B54"/>
    <w:rsid w:val="00D86156"/>
    <w:rsid w:val="00DA005E"/>
    <w:rsid w:val="00DA15B9"/>
    <w:rsid w:val="00DA3D79"/>
    <w:rsid w:val="00DA5DD1"/>
    <w:rsid w:val="00DB2CA1"/>
    <w:rsid w:val="00DC34E1"/>
    <w:rsid w:val="00DC476D"/>
    <w:rsid w:val="00DD071C"/>
    <w:rsid w:val="00DD2779"/>
    <w:rsid w:val="00DD3F12"/>
    <w:rsid w:val="00DE424C"/>
    <w:rsid w:val="00DE7FAA"/>
    <w:rsid w:val="00DF0262"/>
    <w:rsid w:val="00E0290A"/>
    <w:rsid w:val="00E03C30"/>
    <w:rsid w:val="00E13411"/>
    <w:rsid w:val="00E14804"/>
    <w:rsid w:val="00E1673C"/>
    <w:rsid w:val="00E20254"/>
    <w:rsid w:val="00E24C00"/>
    <w:rsid w:val="00E258AB"/>
    <w:rsid w:val="00E31E73"/>
    <w:rsid w:val="00E333B1"/>
    <w:rsid w:val="00E412E5"/>
    <w:rsid w:val="00E439F5"/>
    <w:rsid w:val="00E554F7"/>
    <w:rsid w:val="00E57C55"/>
    <w:rsid w:val="00E60DDF"/>
    <w:rsid w:val="00E70BD7"/>
    <w:rsid w:val="00E72BEE"/>
    <w:rsid w:val="00E72EEA"/>
    <w:rsid w:val="00E76DF7"/>
    <w:rsid w:val="00E76F7D"/>
    <w:rsid w:val="00E8266F"/>
    <w:rsid w:val="00E90DE8"/>
    <w:rsid w:val="00E912A3"/>
    <w:rsid w:val="00E93395"/>
    <w:rsid w:val="00E95614"/>
    <w:rsid w:val="00E96CEB"/>
    <w:rsid w:val="00EA4BD9"/>
    <w:rsid w:val="00EA4E47"/>
    <w:rsid w:val="00EB35BC"/>
    <w:rsid w:val="00EB6E97"/>
    <w:rsid w:val="00EC59C0"/>
    <w:rsid w:val="00ED12F3"/>
    <w:rsid w:val="00ED38D5"/>
    <w:rsid w:val="00ED47F8"/>
    <w:rsid w:val="00EF0218"/>
    <w:rsid w:val="00EF0942"/>
    <w:rsid w:val="00EF0B73"/>
    <w:rsid w:val="00EF6B7A"/>
    <w:rsid w:val="00F01A71"/>
    <w:rsid w:val="00F057DB"/>
    <w:rsid w:val="00F114AB"/>
    <w:rsid w:val="00F14DFE"/>
    <w:rsid w:val="00F20CE7"/>
    <w:rsid w:val="00F3126D"/>
    <w:rsid w:val="00F32C66"/>
    <w:rsid w:val="00F359AD"/>
    <w:rsid w:val="00F365D5"/>
    <w:rsid w:val="00F36B09"/>
    <w:rsid w:val="00F43106"/>
    <w:rsid w:val="00F46509"/>
    <w:rsid w:val="00F46C29"/>
    <w:rsid w:val="00F558BB"/>
    <w:rsid w:val="00F724F6"/>
    <w:rsid w:val="00F72B48"/>
    <w:rsid w:val="00F73414"/>
    <w:rsid w:val="00F76DDC"/>
    <w:rsid w:val="00F81EB7"/>
    <w:rsid w:val="00F9018C"/>
    <w:rsid w:val="00FA3BDF"/>
    <w:rsid w:val="00FA42D5"/>
    <w:rsid w:val="00FA67E8"/>
    <w:rsid w:val="00FA6FE0"/>
    <w:rsid w:val="00FA72E2"/>
    <w:rsid w:val="00FC2925"/>
    <w:rsid w:val="00FC49C9"/>
    <w:rsid w:val="00FC593C"/>
    <w:rsid w:val="00FC7308"/>
    <w:rsid w:val="00FD6838"/>
    <w:rsid w:val="00FD693B"/>
    <w:rsid w:val="00FE19C0"/>
    <w:rsid w:val="00FE3C76"/>
    <w:rsid w:val="00FE4228"/>
    <w:rsid w:val="00FE6F63"/>
    <w:rsid w:val="00FE7A93"/>
    <w:rsid w:val="00FF42EF"/>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56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704"/>
    <w:pPr>
      <w:tabs>
        <w:tab w:val="left" w:pos="1531"/>
      </w:tabs>
      <w:spacing w:after="100" w:line="240" w:lineRule="auto"/>
      <w:jc w:val="both"/>
    </w:pPr>
    <w:rPr>
      <w:rFonts w:ascii="Arial Narrow" w:eastAsia="Times New Roman" w:hAnsi="Arial Narrow" w:cs="Times New Roman"/>
      <w:szCs w:val="20"/>
      <w:lang w:val="es-ES" w:eastAsia="es-ES"/>
    </w:rPr>
  </w:style>
  <w:style w:type="paragraph" w:styleId="Ttulo1">
    <w:name w:val="heading 1"/>
    <w:basedOn w:val="normalsangrdtab1"/>
    <w:next w:val="Normal"/>
    <w:link w:val="Ttulo1Car"/>
    <w:uiPriority w:val="9"/>
    <w:qFormat/>
    <w:rsid w:val="00DD2779"/>
    <w:pPr>
      <w:keepNext/>
      <w:jc w:val="center"/>
      <w:outlineLvl w:val="0"/>
    </w:pPr>
    <w:rPr>
      <w:b/>
      <w:lang w:val="en-US"/>
    </w:rPr>
  </w:style>
  <w:style w:type="paragraph" w:styleId="Ttulo2">
    <w:name w:val="heading 2"/>
    <w:basedOn w:val="Normal"/>
    <w:link w:val="Ttulo2Car"/>
    <w:uiPriority w:val="9"/>
    <w:qFormat/>
    <w:rsid w:val="00225704"/>
    <w:pPr>
      <w:tabs>
        <w:tab w:val="clear" w:pos="1531"/>
      </w:tabs>
      <w:spacing w:before="100" w:beforeAutospacing="1" w:afterAutospacing="1"/>
      <w:jc w:val="left"/>
      <w:outlineLvl w:val="1"/>
    </w:pPr>
    <w:rPr>
      <w:rFonts w:ascii="Times New Roman" w:hAnsi="Times New Roman"/>
      <w:b/>
      <w:bCs/>
      <w:color w:val="18284A"/>
      <w:szCs w:val="22"/>
    </w:rPr>
  </w:style>
  <w:style w:type="paragraph" w:styleId="Ttulo3">
    <w:name w:val="heading 3"/>
    <w:basedOn w:val="Normal"/>
    <w:next w:val="Normal"/>
    <w:link w:val="Ttulo3Car"/>
    <w:uiPriority w:val="9"/>
    <w:qFormat/>
    <w:rsid w:val="00225704"/>
    <w:pPr>
      <w:keepNext/>
      <w:numPr>
        <w:ilvl w:val="3"/>
        <w:numId w:val="1"/>
      </w:numPr>
      <w:tabs>
        <w:tab w:val="clear" w:pos="1531"/>
        <w:tab w:val="clear" w:pos="2880"/>
      </w:tabs>
      <w:spacing w:after="0"/>
      <w:ind w:left="360"/>
      <w:outlineLvl w:val="2"/>
    </w:pPr>
    <w:rPr>
      <w:rFonts w:ascii="Times New Roman" w:eastAsia="MS Mincho" w:hAnsi="Times New Roman"/>
      <w:b/>
      <w:bCs/>
      <w:sz w:val="24"/>
      <w:szCs w:val="24"/>
    </w:rPr>
  </w:style>
  <w:style w:type="paragraph" w:styleId="Ttulo4">
    <w:name w:val="heading 4"/>
    <w:basedOn w:val="Normal"/>
    <w:next w:val="Normal"/>
    <w:link w:val="Ttulo4Car"/>
    <w:uiPriority w:val="9"/>
    <w:unhideWhenUsed/>
    <w:qFormat/>
    <w:rsid w:val="002352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0583"/>
    <w:rPr>
      <w:rFonts w:ascii="Arial Narrow" w:eastAsia="Times New Roman" w:hAnsi="Arial Narrow" w:cs="Times New Roman"/>
      <w:b/>
      <w:snapToGrid w:val="0"/>
      <w:szCs w:val="20"/>
      <w:lang w:val="en-US" w:eastAsia="es-ES"/>
    </w:rPr>
  </w:style>
  <w:style w:type="character" w:customStyle="1" w:styleId="Ttulo2Car">
    <w:name w:val="Título 2 Car"/>
    <w:basedOn w:val="Fuentedeprrafopredeter"/>
    <w:link w:val="Ttulo2"/>
    <w:uiPriority w:val="9"/>
    <w:rsid w:val="00225704"/>
    <w:rPr>
      <w:rFonts w:ascii="Times New Roman" w:eastAsia="Times New Roman" w:hAnsi="Times New Roman" w:cs="Times New Roman"/>
      <w:b/>
      <w:bCs/>
      <w:color w:val="18284A"/>
      <w:lang w:val="es-ES" w:eastAsia="es-ES"/>
    </w:rPr>
  </w:style>
  <w:style w:type="character" w:customStyle="1" w:styleId="Ttulo3Car">
    <w:name w:val="Título 3 Car"/>
    <w:basedOn w:val="Fuentedeprrafopredeter"/>
    <w:link w:val="Ttulo3"/>
    <w:uiPriority w:val="9"/>
    <w:rsid w:val="00225704"/>
    <w:rPr>
      <w:rFonts w:ascii="Times New Roman" w:eastAsia="MS Mincho" w:hAnsi="Times New Roman" w:cs="Times New Roman"/>
      <w:b/>
      <w:bCs/>
      <w:sz w:val="24"/>
      <w:szCs w:val="24"/>
      <w:lang w:val="es-ES" w:eastAsia="es-ES"/>
    </w:rPr>
  </w:style>
  <w:style w:type="paragraph" w:customStyle="1" w:styleId="INDICTAB1">
    <w:name w:val="INDICTAB1"/>
    <w:basedOn w:val="Normal"/>
    <w:rsid w:val="00225704"/>
    <w:pPr>
      <w:tabs>
        <w:tab w:val="left" w:pos="1588"/>
        <w:tab w:val="left" w:pos="1701"/>
        <w:tab w:val="right" w:leader="dot" w:pos="7938"/>
        <w:tab w:val="right" w:pos="8618"/>
      </w:tabs>
      <w:ind w:left="1417" w:hanging="1417"/>
    </w:pPr>
    <w:rPr>
      <w:snapToGrid w:val="0"/>
      <w:spacing w:val="15"/>
      <w:sz w:val="21"/>
    </w:rPr>
  </w:style>
  <w:style w:type="paragraph" w:customStyle="1" w:styleId="Subttulo1">
    <w:name w:val="Subtítulo 1"/>
    <w:rsid w:val="00225704"/>
    <w:pPr>
      <w:spacing w:after="0" w:line="240" w:lineRule="auto"/>
      <w:jc w:val="center"/>
    </w:pPr>
    <w:rPr>
      <w:rFonts w:ascii="Switzerland" w:eastAsia="Times New Roman" w:hAnsi="Switzerland" w:cs="Times New Roman"/>
      <w:b/>
      <w:snapToGrid w:val="0"/>
      <w:color w:val="000000"/>
      <w:sz w:val="24"/>
      <w:szCs w:val="20"/>
      <w:lang w:val="es-ES" w:eastAsia="es-ES"/>
    </w:rPr>
  </w:style>
  <w:style w:type="paragraph" w:customStyle="1" w:styleId="Subttulo2">
    <w:name w:val="Subtítulo 2"/>
    <w:basedOn w:val="Subttulo1"/>
    <w:rsid w:val="00225704"/>
    <w:rPr>
      <w:b w:val="0"/>
      <w:i/>
      <w:color w:val="auto"/>
      <w:sz w:val="20"/>
    </w:rPr>
  </w:style>
  <w:style w:type="paragraph" w:customStyle="1" w:styleId="artculo">
    <w:name w:val="artículo"/>
    <w:basedOn w:val="Normal"/>
    <w:next w:val="Normal"/>
    <w:rsid w:val="00225704"/>
    <w:pPr>
      <w:tabs>
        <w:tab w:val="left" w:pos="397"/>
      </w:tabs>
      <w:spacing w:before="142" w:after="28"/>
      <w:ind w:firstLine="283"/>
    </w:pPr>
    <w:rPr>
      <w:rFonts w:ascii="Switzerland" w:hAnsi="Switzerland"/>
      <w:b/>
      <w:snapToGrid w:val="0"/>
      <w:sz w:val="16"/>
    </w:rPr>
  </w:style>
  <w:style w:type="paragraph" w:customStyle="1" w:styleId="normalsangrdtab1">
    <w:name w:val="normal sangrd tab1"/>
    <w:basedOn w:val="Normal"/>
    <w:rsid w:val="00225704"/>
    <w:pPr>
      <w:tabs>
        <w:tab w:val="left" w:pos="1134"/>
      </w:tabs>
      <w:spacing w:before="28"/>
      <w:ind w:left="397" w:hanging="397"/>
    </w:pPr>
    <w:rPr>
      <w:snapToGrid w:val="0"/>
    </w:rPr>
  </w:style>
  <w:style w:type="paragraph" w:customStyle="1" w:styleId="normalsubprrf">
    <w:name w:val="normal subprrf"/>
    <w:basedOn w:val="Normal"/>
    <w:rsid w:val="00225704"/>
    <w:pPr>
      <w:tabs>
        <w:tab w:val="left" w:pos="283"/>
      </w:tabs>
      <w:spacing w:after="28"/>
      <w:ind w:left="283" w:hanging="227"/>
    </w:pPr>
    <w:rPr>
      <w:rFonts w:ascii="Switzerland" w:hAnsi="Switzerland"/>
      <w:snapToGrid w:val="0"/>
      <w:sz w:val="16"/>
    </w:rPr>
  </w:style>
  <w:style w:type="paragraph" w:customStyle="1" w:styleId="SUBTIT3">
    <w:name w:val="SUBTIT3"/>
    <w:basedOn w:val="normalsubprrf"/>
    <w:next w:val="normalsubprrf"/>
    <w:rsid w:val="00225704"/>
    <w:pPr>
      <w:keepLines/>
      <w:tabs>
        <w:tab w:val="clear" w:pos="283"/>
      </w:tabs>
      <w:ind w:left="567" w:hanging="284"/>
    </w:pPr>
  </w:style>
  <w:style w:type="paragraph" w:customStyle="1" w:styleId="glosario">
    <w:name w:val="glosario"/>
    <w:basedOn w:val="normalsubprrf"/>
    <w:next w:val="normalsubprrf"/>
    <w:rsid w:val="00225704"/>
    <w:pPr>
      <w:spacing w:before="85"/>
    </w:pPr>
  </w:style>
  <w:style w:type="character" w:customStyle="1" w:styleId="MapadeldocumentoCar">
    <w:name w:val="Mapa del documento Car"/>
    <w:basedOn w:val="Fuentedeprrafopredeter"/>
    <w:link w:val="Mapadeldocumento"/>
    <w:semiHidden/>
    <w:rsid w:val="00225704"/>
    <w:rPr>
      <w:rFonts w:ascii="Tahoma" w:eastAsia="Times New Roman" w:hAnsi="Tahoma" w:cs="Times New Roman"/>
      <w:szCs w:val="20"/>
      <w:shd w:val="clear" w:color="auto" w:fill="000080"/>
      <w:lang w:val="es-ES" w:eastAsia="es-ES"/>
    </w:rPr>
  </w:style>
  <w:style w:type="paragraph" w:styleId="Mapadeldocumento">
    <w:name w:val="Document Map"/>
    <w:basedOn w:val="Normal"/>
    <w:link w:val="MapadeldocumentoCar"/>
    <w:semiHidden/>
    <w:rsid w:val="00225704"/>
    <w:pPr>
      <w:shd w:val="clear" w:color="auto" w:fill="000080"/>
    </w:pPr>
    <w:rPr>
      <w:rFonts w:ascii="Tahoma" w:hAnsi="Tahoma"/>
    </w:rPr>
  </w:style>
  <w:style w:type="paragraph" w:styleId="Textonotapie">
    <w:name w:val="footnote text"/>
    <w:basedOn w:val="Normal"/>
    <w:link w:val="TextonotapieCar"/>
    <w:uiPriority w:val="99"/>
    <w:semiHidden/>
    <w:rsid w:val="00225704"/>
    <w:pPr>
      <w:tabs>
        <w:tab w:val="left" w:pos="284"/>
      </w:tabs>
      <w:ind w:left="284" w:hanging="284"/>
    </w:pPr>
    <w:rPr>
      <w:color w:val="000080"/>
      <w:sz w:val="20"/>
    </w:rPr>
  </w:style>
  <w:style w:type="character" w:customStyle="1" w:styleId="TextonotapieCar">
    <w:name w:val="Texto nota pie Car"/>
    <w:basedOn w:val="Fuentedeprrafopredeter"/>
    <w:link w:val="Textonotapie"/>
    <w:uiPriority w:val="99"/>
    <w:semiHidden/>
    <w:rsid w:val="00225704"/>
    <w:rPr>
      <w:rFonts w:ascii="Arial Narrow" w:eastAsia="Times New Roman" w:hAnsi="Arial Narrow" w:cs="Times New Roman"/>
      <w:color w:val="000080"/>
      <w:sz w:val="20"/>
      <w:szCs w:val="20"/>
      <w:lang w:val="es-ES" w:eastAsia="es-ES"/>
    </w:rPr>
  </w:style>
  <w:style w:type="paragraph" w:customStyle="1" w:styleId="Normalsangrdtab2">
    <w:name w:val="Normal sangrd tab2"/>
    <w:rsid w:val="00225704"/>
    <w:pPr>
      <w:tabs>
        <w:tab w:val="left" w:pos="794"/>
      </w:tabs>
      <w:spacing w:after="120" w:line="240" w:lineRule="auto"/>
      <w:ind w:left="794" w:hanging="397"/>
      <w:jc w:val="both"/>
    </w:pPr>
    <w:rPr>
      <w:rFonts w:ascii="Arial Narrow" w:eastAsia="Times New Roman" w:hAnsi="Arial Narrow" w:cs="Times New Roman"/>
      <w:noProof/>
      <w:szCs w:val="20"/>
      <w:lang w:val="es-ES" w:eastAsia="es-ES"/>
    </w:rPr>
  </w:style>
  <w:style w:type="paragraph" w:customStyle="1" w:styleId="NormalBold">
    <w:name w:val="Normal Bold"/>
    <w:basedOn w:val="Normal"/>
    <w:rsid w:val="00225704"/>
    <w:pPr>
      <w:tabs>
        <w:tab w:val="left" w:pos="1503"/>
      </w:tabs>
      <w:spacing w:before="160" w:after="80"/>
      <w:ind w:left="1503" w:hanging="1503"/>
    </w:pPr>
    <w:rPr>
      <w:b/>
    </w:rPr>
  </w:style>
  <w:style w:type="paragraph" w:customStyle="1" w:styleId="NormalConcord-CONST">
    <w:name w:val="Normal Concord- CONST."/>
    <w:basedOn w:val="Normal"/>
    <w:rsid w:val="00225704"/>
    <w:pPr>
      <w:ind w:left="1531" w:hanging="1531"/>
    </w:pPr>
  </w:style>
  <w:style w:type="paragraph" w:styleId="Piedepgina">
    <w:name w:val="footer"/>
    <w:basedOn w:val="Normal"/>
    <w:link w:val="PiedepginaCar"/>
    <w:uiPriority w:val="99"/>
    <w:rsid w:val="00C60B9D"/>
    <w:pPr>
      <w:tabs>
        <w:tab w:val="clear" w:pos="1531"/>
        <w:tab w:val="center" w:pos="4252"/>
        <w:tab w:val="right" w:pos="8504"/>
      </w:tabs>
    </w:pPr>
    <w:rPr>
      <w:lang w:val="es-PE"/>
    </w:rPr>
  </w:style>
  <w:style w:type="character" w:customStyle="1" w:styleId="PiedepginaCar">
    <w:name w:val="Pie de página Car"/>
    <w:basedOn w:val="Fuentedeprrafopredeter"/>
    <w:link w:val="Piedepgina"/>
    <w:uiPriority w:val="99"/>
    <w:rsid w:val="00C60B9D"/>
    <w:rPr>
      <w:rFonts w:ascii="Arial Narrow" w:eastAsia="Times New Roman" w:hAnsi="Arial Narrow" w:cs="Times New Roman"/>
      <w:szCs w:val="20"/>
      <w:lang w:eastAsia="es-ES"/>
    </w:rPr>
  </w:style>
  <w:style w:type="character" w:styleId="Nmerodepgina">
    <w:name w:val="page number"/>
    <w:basedOn w:val="Fuentedeprrafopredeter"/>
    <w:rsid w:val="00225704"/>
  </w:style>
  <w:style w:type="paragraph" w:styleId="Textoindependiente">
    <w:name w:val="Body Text"/>
    <w:basedOn w:val="Normal"/>
    <w:link w:val="TextoindependienteCar"/>
    <w:rsid w:val="00225704"/>
    <w:pPr>
      <w:tabs>
        <w:tab w:val="clear" w:pos="1531"/>
      </w:tabs>
      <w:spacing w:after="0"/>
    </w:pPr>
  </w:style>
  <w:style w:type="character" w:customStyle="1" w:styleId="TextoindependienteCar">
    <w:name w:val="Texto independiente Car"/>
    <w:basedOn w:val="Fuentedeprrafopredeter"/>
    <w:link w:val="Textoindependiente"/>
    <w:rsid w:val="00225704"/>
    <w:rPr>
      <w:rFonts w:ascii="Arial Narrow" w:eastAsia="Times New Roman" w:hAnsi="Arial Narrow" w:cs="Times New Roman"/>
      <w:szCs w:val="20"/>
      <w:lang w:val="es-ES" w:eastAsia="es-ES"/>
    </w:rPr>
  </w:style>
  <w:style w:type="paragraph" w:styleId="Sangradetextonormal">
    <w:name w:val="Body Text Indent"/>
    <w:basedOn w:val="Normal"/>
    <w:link w:val="SangradetextonormalCar"/>
    <w:rsid w:val="00225704"/>
    <w:pPr>
      <w:tabs>
        <w:tab w:val="clear" w:pos="1531"/>
      </w:tabs>
      <w:spacing w:after="0"/>
      <w:ind w:left="284"/>
      <w:jc w:val="left"/>
    </w:pPr>
    <w:rPr>
      <w:spacing w:val="200"/>
    </w:rPr>
  </w:style>
  <w:style w:type="character" w:customStyle="1" w:styleId="SangradetextonormalCar">
    <w:name w:val="Sangría de texto normal Car"/>
    <w:basedOn w:val="Fuentedeprrafopredeter"/>
    <w:link w:val="Sangradetextonormal"/>
    <w:rsid w:val="00225704"/>
    <w:rPr>
      <w:rFonts w:ascii="Arial Narrow" w:eastAsia="Times New Roman" w:hAnsi="Arial Narrow" w:cs="Times New Roman"/>
      <w:spacing w:val="200"/>
      <w:szCs w:val="20"/>
      <w:lang w:val="es-ES" w:eastAsia="es-ES"/>
    </w:rPr>
  </w:style>
  <w:style w:type="paragraph" w:styleId="Textoindependiente2">
    <w:name w:val="Body Text 2"/>
    <w:basedOn w:val="Normal"/>
    <w:link w:val="Textoindependiente2Car"/>
    <w:rsid w:val="00225704"/>
    <w:rPr>
      <w:color w:val="000080"/>
    </w:rPr>
  </w:style>
  <w:style w:type="character" w:customStyle="1" w:styleId="Textoindependiente2Car">
    <w:name w:val="Texto independiente 2 Car"/>
    <w:basedOn w:val="Fuentedeprrafopredeter"/>
    <w:link w:val="Textoindependiente2"/>
    <w:rsid w:val="00225704"/>
    <w:rPr>
      <w:rFonts w:ascii="Arial Narrow" w:eastAsia="Times New Roman" w:hAnsi="Arial Narrow" w:cs="Times New Roman"/>
      <w:color w:val="000080"/>
      <w:szCs w:val="20"/>
      <w:lang w:val="es-ES" w:eastAsia="es-ES"/>
    </w:rPr>
  </w:style>
  <w:style w:type="paragraph" w:styleId="Textoindependiente3">
    <w:name w:val="Body Text 3"/>
    <w:basedOn w:val="Normal"/>
    <w:link w:val="Textoindependiente3Car"/>
    <w:rsid w:val="00225704"/>
    <w:rPr>
      <w:color w:val="000080"/>
      <w:sz w:val="20"/>
    </w:rPr>
  </w:style>
  <w:style w:type="character" w:customStyle="1" w:styleId="Textoindependiente3Car">
    <w:name w:val="Texto independiente 3 Car"/>
    <w:basedOn w:val="Fuentedeprrafopredeter"/>
    <w:link w:val="Textoindependiente3"/>
    <w:rsid w:val="00225704"/>
    <w:rPr>
      <w:rFonts w:ascii="Arial Narrow" w:eastAsia="Times New Roman" w:hAnsi="Arial Narrow" w:cs="Times New Roman"/>
      <w:color w:val="000080"/>
      <w:sz w:val="20"/>
      <w:szCs w:val="20"/>
      <w:lang w:val="es-ES" w:eastAsia="es-ES"/>
    </w:rPr>
  </w:style>
  <w:style w:type="paragraph" w:styleId="Sangra2detindependiente">
    <w:name w:val="Body Text Indent 2"/>
    <w:basedOn w:val="Normal"/>
    <w:link w:val="Sangra2detindependienteCar"/>
    <w:rsid w:val="00225704"/>
    <w:pPr>
      <w:tabs>
        <w:tab w:val="clear" w:pos="1531"/>
        <w:tab w:val="left" w:pos="1560"/>
      </w:tabs>
      <w:ind w:left="1560" w:hanging="1560"/>
    </w:pPr>
  </w:style>
  <w:style w:type="character" w:customStyle="1" w:styleId="Sangra2detindependienteCar">
    <w:name w:val="Sangría 2 de t. independiente Car"/>
    <w:basedOn w:val="Fuentedeprrafopredeter"/>
    <w:link w:val="Sangra2detindependiente"/>
    <w:rsid w:val="00225704"/>
    <w:rPr>
      <w:rFonts w:ascii="Arial Narrow" w:eastAsia="Times New Roman" w:hAnsi="Arial Narrow" w:cs="Times New Roman"/>
      <w:szCs w:val="20"/>
      <w:lang w:val="es-ES" w:eastAsia="es-ES"/>
    </w:rPr>
  </w:style>
  <w:style w:type="paragraph" w:styleId="Encabezado">
    <w:name w:val="header"/>
    <w:basedOn w:val="Normal"/>
    <w:link w:val="EncabezadoCar"/>
    <w:uiPriority w:val="99"/>
    <w:rsid w:val="00225704"/>
    <w:pPr>
      <w:tabs>
        <w:tab w:val="clear" w:pos="1531"/>
        <w:tab w:val="center" w:pos="4419"/>
        <w:tab w:val="right" w:pos="8838"/>
      </w:tabs>
    </w:pPr>
  </w:style>
  <w:style w:type="character" w:customStyle="1" w:styleId="EncabezadoCar">
    <w:name w:val="Encabezado Car"/>
    <w:basedOn w:val="Fuentedeprrafopredeter"/>
    <w:link w:val="Encabezado"/>
    <w:uiPriority w:val="99"/>
    <w:rsid w:val="00225704"/>
    <w:rPr>
      <w:rFonts w:ascii="Arial Narrow" w:eastAsia="Times New Roman" w:hAnsi="Arial Narrow" w:cs="Times New Roman"/>
      <w:szCs w:val="20"/>
      <w:lang w:val="es-ES" w:eastAsia="es-ES"/>
    </w:rPr>
  </w:style>
  <w:style w:type="paragraph" w:customStyle="1" w:styleId="Cuerpo">
    <w:name w:val="Cuerpo"/>
    <w:rsid w:val="00225704"/>
    <w:pPr>
      <w:tabs>
        <w:tab w:val="left" w:pos="240"/>
      </w:tabs>
      <w:spacing w:after="0" w:line="170" w:lineRule="atLeast"/>
      <w:jc w:val="both"/>
    </w:pPr>
    <w:rPr>
      <w:rFonts w:ascii="Arial" w:eastAsia="Times New Roman" w:hAnsi="Arial" w:cs="Times New Roman"/>
      <w:color w:val="000000"/>
      <w:sz w:val="16"/>
      <w:szCs w:val="20"/>
      <w:lang w:val="es-ES_tradnl" w:eastAsia="es-ES"/>
    </w:rPr>
  </w:style>
  <w:style w:type="character" w:customStyle="1" w:styleId="TextodegloboCar">
    <w:name w:val="Texto de globo Car"/>
    <w:basedOn w:val="Fuentedeprrafopredeter"/>
    <w:link w:val="Textodeglobo"/>
    <w:semiHidden/>
    <w:rsid w:val="00225704"/>
    <w:rPr>
      <w:rFonts w:ascii="Tahoma" w:eastAsia="Times New Roman" w:hAnsi="Tahoma" w:cs="Tahoma"/>
      <w:sz w:val="16"/>
      <w:szCs w:val="16"/>
      <w:lang w:val="es-ES" w:eastAsia="es-ES"/>
    </w:rPr>
  </w:style>
  <w:style w:type="paragraph" w:styleId="Textodeglobo">
    <w:name w:val="Balloon Text"/>
    <w:basedOn w:val="Normal"/>
    <w:link w:val="TextodegloboCar"/>
    <w:semiHidden/>
    <w:rsid w:val="00225704"/>
    <w:rPr>
      <w:rFonts w:ascii="Tahoma" w:hAnsi="Tahoma" w:cs="Tahoma"/>
      <w:sz w:val="16"/>
      <w:szCs w:val="16"/>
    </w:rPr>
  </w:style>
  <w:style w:type="character" w:customStyle="1" w:styleId="TextocomentarioCar">
    <w:name w:val="Texto comentario Car"/>
    <w:basedOn w:val="Fuentedeprrafopredeter"/>
    <w:link w:val="Textocomentario"/>
    <w:semiHidden/>
    <w:rsid w:val="00225704"/>
    <w:rPr>
      <w:rFonts w:ascii="Arial Narrow" w:eastAsia="Times New Roman" w:hAnsi="Arial Narrow" w:cs="Times New Roman"/>
      <w:sz w:val="20"/>
      <w:szCs w:val="20"/>
      <w:lang w:val="es-ES" w:eastAsia="es-ES"/>
    </w:rPr>
  </w:style>
  <w:style w:type="paragraph" w:styleId="Textocomentario">
    <w:name w:val="annotation text"/>
    <w:basedOn w:val="Normal"/>
    <w:link w:val="TextocomentarioCar"/>
    <w:semiHidden/>
    <w:rsid w:val="00225704"/>
    <w:rPr>
      <w:sz w:val="20"/>
    </w:rPr>
  </w:style>
  <w:style w:type="character" w:customStyle="1" w:styleId="AsuntodelcomentarioCar">
    <w:name w:val="Asunto del comentario Car"/>
    <w:basedOn w:val="TextocomentarioCar"/>
    <w:link w:val="Asuntodelcomentario"/>
    <w:semiHidden/>
    <w:rsid w:val="00225704"/>
    <w:rPr>
      <w:rFonts w:ascii="Arial Narrow" w:eastAsia="Times New Roman" w:hAnsi="Arial Narrow" w:cs="Times New Roman"/>
      <w:b/>
      <w:bCs/>
      <w:sz w:val="20"/>
      <w:szCs w:val="20"/>
      <w:lang w:val="es-ES" w:eastAsia="es-ES"/>
    </w:rPr>
  </w:style>
  <w:style w:type="paragraph" w:styleId="Asuntodelcomentario">
    <w:name w:val="annotation subject"/>
    <w:basedOn w:val="Textocomentario"/>
    <w:next w:val="Textocomentario"/>
    <w:link w:val="AsuntodelcomentarioCar"/>
    <w:semiHidden/>
    <w:rsid w:val="00225704"/>
    <w:rPr>
      <w:b/>
      <w:bCs/>
    </w:rPr>
  </w:style>
  <w:style w:type="character" w:customStyle="1" w:styleId="resolministerial">
    <w:name w:val="resolministerial"/>
    <w:basedOn w:val="Fuentedeprrafopredeter"/>
    <w:rsid w:val="00225704"/>
    <w:rPr>
      <w:rFonts w:ascii="Arial" w:hAnsi="Arial" w:cs="Arial" w:hint="default"/>
      <w:b/>
      <w:bCs/>
      <w:i w:val="0"/>
      <w:iCs w:val="0"/>
      <w:color w:val="0000FF"/>
      <w:sz w:val="20"/>
      <w:szCs w:val="20"/>
    </w:rPr>
  </w:style>
  <w:style w:type="paragraph" w:styleId="Prrafodelista">
    <w:name w:val="List Paragraph"/>
    <w:basedOn w:val="Normal"/>
    <w:uiPriority w:val="34"/>
    <w:qFormat/>
    <w:rsid w:val="00225704"/>
    <w:pPr>
      <w:ind w:left="708"/>
    </w:pPr>
  </w:style>
  <w:style w:type="paragraph" w:styleId="Sinespaciado">
    <w:name w:val="No Spacing"/>
    <w:uiPriority w:val="1"/>
    <w:qFormat/>
    <w:rsid w:val="00225704"/>
    <w:pPr>
      <w:tabs>
        <w:tab w:val="left" w:pos="1531"/>
      </w:tabs>
      <w:spacing w:after="0" w:line="240" w:lineRule="auto"/>
      <w:jc w:val="both"/>
    </w:pPr>
    <w:rPr>
      <w:rFonts w:ascii="Arial Narrow" w:eastAsia="Times New Roman" w:hAnsi="Arial Narrow" w:cs="Times New Roman"/>
      <w:szCs w:val="20"/>
      <w:lang w:val="es-ES" w:eastAsia="es-ES"/>
    </w:rPr>
  </w:style>
  <w:style w:type="paragraph" w:styleId="NormalWeb">
    <w:name w:val="Normal (Web)"/>
    <w:basedOn w:val="Normal"/>
    <w:uiPriority w:val="99"/>
    <w:unhideWhenUsed/>
    <w:rsid w:val="00225704"/>
    <w:pPr>
      <w:tabs>
        <w:tab w:val="clear" w:pos="1531"/>
      </w:tabs>
      <w:spacing w:before="100" w:beforeAutospacing="1" w:afterAutospacing="1"/>
      <w:jc w:val="left"/>
    </w:pPr>
    <w:rPr>
      <w:rFonts w:ascii="Times New Roman" w:hAnsi="Times New Roman"/>
      <w:sz w:val="24"/>
      <w:szCs w:val="24"/>
    </w:rPr>
  </w:style>
  <w:style w:type="character" w:styleId="Hipervnculo">
    <w:name w:val="Hyperlink"/>
    <w:basedOn w:val="Fuentedeprrafopredeter"/>
    <w:uiPriority w:val="99"/>
    <w:unhideWhenUsed/>
    <w:rsid w:val="00111C80"/>
    <w:rPr>
      <w:color w:val="0000FF"/>
      <w:u w:val="single"/>
    </w:rPr>
  </w:style>
  <w:style w:type="paragraph" w:styleId="TtulodeTDC">
    <w:name w:val="TOC Heading"/>
    <w:basedOn w:val="Ttulo1"/>
    <w:next w:val="Normal"/>
    <w:uiPriority w:val="39"/>
    <w:semiHidden/>
    <w:unhideWhenUsed/>
    <w:qFormat/>
    <w:rsid w:val="00DE424C"/>
    <w:pPr>
      <w:keepLines/>
      <w:tabs>
        <w:tab w:val="clear" w:pos="1531"/>
      </w:tabs>
      <w:spacing w:before="480" w:after="0" w:line="276" w:lineRule="auto"/>
      <w:jc w:val="left"/>
      <w:outlineLvl w:val="9"/>
    </w:pPr>
    <w:rPr>
      <w:rFonts w:asciiTheme="majorHAnsi" w:eastAsiaTheme="majorEastAsia" w:hAnsiTheme="majorHAnsi" w:cstheme="majorBidi"/>
      <w:bCs/>
      <w:snapToGrid/>
      <w:color w:val="365F91" w:themeColor="accent1" w:themeShade="BF"/>
      <w:sz w:val="28"/>
      <w:szCs w:val="28"/>
      <w:lang w:eastAsia="en-US"/>
    </w:rPr>
  </w:style>
  <w:style w:type="paragraph" w:styleId="TDC1">
    <w:name w:val="toc 1"/>
    <w:basedOn w:val="Normal"/>
    <w:next w:val="Normal"/>
    <w:autoRedefine/>
    <w:uiPriority w:val="39"/>
    <w:unhideWhenUsed/>
    <w:qFormat/>
    <w:rsid w:val="00F73414"/>
    <w:pPr>
      <w:tabs>
        <w:tab w:val="clear" w:pos="1531"/>
        <w:tab w:val="right" w:leader="dot" w:pos="8495"/>
      </w:tabs>
      <w:ind w:left="284"/>
    </w:pPr>
    <w:rPr>
      <w:rFonts w:cs="Arial"/>
      <w:bCs/>
      <w:noProof/>
      <w:kern w:val="36"/>
      <w:lang w:val="en-US"/>
    </w:rPr>
  </w:style>
  <w:style w:type="paragraph" w:styleId="TDC2">
    <w:name w:val="toc 2"/>
    <w:basedOn w:val="Normal"/>
    <w:next w:val="Normal"/>
    <w:autoRedefine/>
    <w:uiPriority w:val="39"/>
    <w:unhideWhenUsed/>
    <w:qFormat/>
    <w:rsid w:val="004861DF"/>
    <w:pPr>
      <w:tabs>
        <w:tab w:val="clear" w:pos="1531"/>
        <w:tab w:val="right" w:pos="8495"/>
      </w:tabs>
    </w:pPr>
  </w:style>
  <w:style w:type="character" w:styleId="Refdecomentario">
    <w:name w:val="annotation reference"/>
    <w:basedOn w:val="Fuentedeprrafopredeter"/>
    <w:semiHidden/>
    <w:unhideWhenUsed/>
    <w:rsid w:val="00A81D0E"/>
    <w:rPr>
      <w:sz w:val="16"/>
      <w:szCs w:val="16"/>
    </w:rPr>
  </w:style>
  <w:style w:type="character" w:customStyle="1" w:styleId="modartculofecha">
    <w:name w:val="modartculofecha"/>
    <w:basedOn w:val="Fuentedeprrafopredeter"/>
    <w:rsid w:val="00310870"/>
  </w:style>
  <w:style w:type="paragraph" w:styleId="TDC3">
    <w:name w:val="toc 3"/>
    <w:basedOn w:val="Normal"/>
    <w:next w:val="Normal"/>
    <w:autoRedefine/>
    <w:uiPriority w:val="39"/>
    <w:semiHidden/>
    <w:unhideWhenUsed/>
    <w:qFormat/>
    <w:rsid w:val="00A07FBC"/>
    <w:pPr>
      <w:tabs>
        <w:tab w:val="clear" w:pos="1531"/>
      </w:tabs>
      <w:spacing w:line="276" w:lineRule="auto"/>
      <w:ind w:left="440"/>
      <w:jc w:val="left"/>
    </w:pPr>
    <w:rPr>
      <w:rFonts w:asciiTheme="minorHAnsi" w:eastAsiaTheme="minorEastAsia" w:hAnsiTheme="minorHAnsi" w:cstheme="minorBidi"/>
      <w:szCs w:val="22"/>
      <w:lang w:eastAsia="en-US"/>
    </w:rPr>
  </w:style>
  <w:style w:type="character" w:customStyle="1" w:styleId="Ttulo4Car">
    <w:name w:val="Título 4 Car"/>
    <w:basedOn w:val="Fuentedeprrafopredeter"/>
    <w:link w:val="Ttulo4"/>
    <w:uiPriority w:val="9"/>
    <w:rsid w:val="00235275"/>
    <w:rPr>
      <w:rFonts w:asciiTheme="majorHAnsi" w:eastAsiaTheme="majorEastAsia" w:hAnsiTheme="majorHAnsi" w:cstheme="majorBidi"/>
      <w:b/>
      <w:bCs/>
      <w:i/>
      <w:iCs/>
      <w:color w:val="4F81BD" w:themeColor="accent1"/>
      <w:szCs w:val="20"/>
      <w:lang w:val="es-ES" w:eastAsia="es-ES"/>
    </w:rPr>
  </w:style>
  <w:style w:type="paragraph" w:styleId="TDC5">
    <w:name w:val="toc 5"/>
    <w:basedOn w:val="Normal"/>
    <w:next w:val="Normal"/>
    <w:autoRedefine/>
    <w:uiPriority w:val="39"/>
    <w:semiHidden/>
    <w:unhideWhenUsed/>
    <w:rsid w:val="00736F95"/>
    <w:pPr>
      <w:tabs>
        <w:tab w:val="clear" w:pos="1531"/>
      </w:tabs>
      <w:ind w:left="880"/>
    </w:pPr>
  </w:style>
  <w:style w:type="table" w:customStyle="1" w:styleId="Sombreadomedio2-nfasis11">
    <w:name w:val="Sombreado medio 2 - Énfasis 11"/>
    <w:basedOn w:val="Tablanormal"/>
    <w:uiPriority w:val="64"/>
    <w:rsid w:val="00D813F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541600530">
      <w:bodyDiv w:val="1"/>
      <w:marLeft w:val="0"/>
      <w:marRight w:val="0"/>
      <w:marTop w:val="0"/>
      <w:marBottom w:val="0"/>
      <w:divBdr>
        <w:top w:val="none" w:sz="0" w:space="0" w:color="auto"/>
        <w:left w:val="none" w:sz="0" w:space="0" w:color="auto"/>
        <w:bottom w:val="none" w:sz="0" w:space="0" w:color="auto"/>
        <w:right w:val="none" w:sz="0" w:space="0" w:color="auto"/>
      </w:divBdr>
    </w:div>
    <w:div w:id="783234693">
      <w:bodyDiv w:val="1"/>
      <w:marLeft w:val="0"/>
      <w:marRight w:val="0"/>
      <w:marTop w:val="0"/>
      <w:marBottom w:val="0"/>
      <w:divBdr>
        <w:top w:val="none" w:sz="0" w:space="0" w:color="auto"/>
        <w:left w:val="none" w:sz="0" w:space="0" w:color="auto"/>
        <w:bottom w:val="none" w:sz="0" w:space="0" w:color="auto"/>
        <w:right w:val="none" w:sz="0" w:space="0" w:color="auto"/>
      </w:divBdr>
    </w:div>
    <w:div w:id="1402942667">
      <w:bodyDiv w:val="1"/>
      <w:marLeft w:val="0"/>
      <w:marRight w:val="0"/>
      <w:marTop w:val="0"/>
      <w:marBottom w:val="0"/>
      <w:divBdr>
        <w:top w:val="none" w:sz="0" w:space="0" w:color="auto"/>
        <w:left w:val="none" w:sz="0" w:space="0" w:color="auto"/>
        <w:bottom w:val="none" w:sz="0" w:space="0" w:color="auto"/>
        <w:right w:val="none" w:sz="0" w:space="0" w:color="auto"/>
      </w:divBdr>
    </w:div>
    <w:div w:id="1577397159">
      <w:bodyDiv w:val="1"/>
      <w:marLeft w:val="0"/>
      <w:marRight w:val="0"/>
      <w:marTop w:val="0"/>
      <w:marBottom w:val="0"/>
      <w:divBdr>
        <w:top w:val="none" w:sz="0" w:space="0" w:color="auto"/>
        <w:left w:val="none" w:sz="0" w:space="0" w:color="auto"/>
        <w:bottom w:val="none" w:sz="0" w:space="0" w:color="auto"/>
        <w:right w:val="none" w:sz="0" w:space="0" w:color="auto"/>
      </w:divBdr>
    </w:div>
    <w:div w:id="167904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pre/index.aspx" TargetMode="External"/><Relationship Id="rId13" Type="http://schemas.openxmlformats.org/officeDocument/2006/relationships/header" Target="header3.xml"/><Relationship Id="rId3" Type="http://schemas.openxmlformats.org/officeDocument/2006/relationships/styles" Target="styles.xml"/><Relationship Id="rId120"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618E4-B09E-46E2-A083-F19EBF21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16</Pages>
  <Words>4762</Words>
  <Characters>26191</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SMV</Company>
  <LinksUpToDate>false</LinksUpToDate>
  <CharactersWithSpaces>30892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MCHANG</dc:creator>
  <cp:lastModifiedBy>MILTON MALCA</cp:lastModifiedBy>
  <cp:revision>18</cp:revision>
  <cp:lastPrinted>2016-01-13T15:17:00Z</cp:lastPrinted>
  <dcterms:created xsi:type="dcterms:W3CDTF">2016-01-15T21:43:00Z</dcterms:created>
  <dcterms:modified xsi:type="dcterms:W3CDTF">2016-02-08T17:58:00Z</dcterms:modified>
</cp:coreProperties>
</file>